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4" w:rsidRDefault="00C62965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092564" w:rsidRDefault="00C62965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7458E">
        <w:rPr>
          <w:noProof/>
        </w:rPr>
        <w:t>Swan and Canning Rivers (Transitional) Regulations (No. 2) 2007</w:t>
      </w:r>
      <w:r>
        <w:fldChar w:fldCharType="end"/>
      </w:r>
    </w:p>
    <w:p w:rsidR="00092564" w:rsidRDefault="00092564">
      <w:pPr>
        <w:jc w:val="center"/>
        <w:rPr>
          <w:b/>
        </w:rPr>
        <w:sectPr w:rsidR="000925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92564" w:rsidRDefault="00C62965">
      <w:pPr>
        <w:pStyle w:val="WA"/>
      </w:pPr>
      <w:r>
        <w:lastRenderedPageBreak/>
        <w:t>Western Australia</w:t>
      </w:r>
    </w:p>
    <w:p w:rsidR="00092564" w:rsidRDefault="00C62965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7458E">
        <w:rPr>
          <w:noProof/>
        </w:rPr>
        <w:t>Swan and Canning Rivers (Transitional) Regulations (No. 2) 2007</w:t>
      </w:r>
      <w:r>
        <w:fldChar w:fldCharType="end"/>
      </w:r>
    </w:p>
    <w:p w:rsidR="00092564" w:rsidRDefault="00C62965">
      <w:pPr>
        <w:pStyle w:val="Arrangement"/>
      </w:pPr>
      <w:r>
        <w:t>CONTENTS</w:t>
      </w:r>
    </w:p>
    <w:p w:rsidR="00092564" w:rsidRDefault="00C62965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_Toc178592333 \h </w:instrText>
      </w:r>
      <w:r>
        <w:fldChar w:fldCharType="separate"/>
      </w:r>
      <w:r w:rsidR="0037458E">
        <w:t>1</w:t>
      </w:r>
      <w:r>
        <w:fldChar w:fldCharType="end"/>
      </w:r>
    </w:p>
    <w:p w:rsidR="00092564" w:rsidRDefault="00C62965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_Toc178592334 \h </w:instrText>
      </w:r>
      <w:r>
        <w:fldChar w:fldCharType="separate"/>
      </w:r>
      <w:r w:rsidR="0037458E">
        <w:t>1</w:t>
      </w:r>
      <w:r>
        <w:fldChar w:fldCharType="end"/>
      </w:r>
    </w:p>
    <w:p w:rsidR="00092564" w:rsidRDefault="00C62965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Leased parts of the River reserve</w:t>
      </w:r>
      <w:r>
        <w:tab/>
      </w:r>
      <w:r>
        <w:fldChar w:fldCharType="begin"/>
      </w:r>
      <w:r>
        <w:instrText xml:space="preserve"> PAGEREF _Toc178592335 \h </w:instrText>
      </w:r>
      <w:r>
        <w:fldChar w:fldCharType="separate"/>
      </w:r>
      <w:r w:rsidR="0037458E">
        <w:t>1</w:t>
      </w:r>
      <w:r>
        <w:fldChar w:fldCharType="end"/>
      </w:r>
    </w:p>
    <w:p w:rsidR="00092564" w:rsidRDefault="00C62965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092564" w:rsidRDefault="00C62965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_Toc178592337 \h </w:instrText>
      </w:r>
      <w:r>
        <w:fldChar w:fldCharType="separate"/>
      </w:r>
      <w:r w:rsidR="0037458E">
        <w:t>1</w:t>
      </w:r>
      <w:r>
        <w:fldChar w:fldCharType="end"/>
      </w:r>
    </w:p>
    <w:p w:rsidR="00092564" w:rsidRDefault="00C62965">
      <w:pPr>
        <w:pStyle w:val="TOC8"/>
      </w:pPr>
      <w:r>
        <w:fldChar w:fldCharType="end"/>
      </w:r>
    </w:p>
    <w:p w:rsidR="00092564" w:rsidRDefault="00C62965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092564" w:rsidRDefault="00092564">
      <w:pPr>
        <w:pStyle w:val="NoteHeading"/>
        <w:sectPr w:rsidR="0009256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092564" w:rsidRDefault="00C62965">
      <w:pPr>
        <w:pStyle w:val="WA"/>
      </w:pPr>
      <w:r>
        <w:lastRenderedPageBreak/>
        <w:t>Western Australia</w:t>
      </w:r>
    </w:p>
    <w:p w:rsidR="00092564" w:rsidRDefault="00C62965">
      <w:pPr>
        <w:pStyle w:val="PrincipalActReg"/>
      </w:pPr>
      <w:r>
        <w:t>Swan and Canning Rivers (Consequential and Transitional Provisions) Act 2006</w:t>
      </w:r>
    </w:p>
    <w:p w:rsidR="00092564" w:rsidRDefault="00C62965">
      <w:pPr>
        <w:pStyle w:val="NameofActReg"/>
      </w:pPr>
      <w:r>
        <w:t>Swan and Canning Rivers (Transitional) Regulations (No. 2) 2007</w:t>
      </w:r>
    </w:p>
    <w:p w:rsidR="00092564" w:rsidRDefault="00C62965"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15958686"/>
      <w:bookmarkStart w:id="9" w:name="_Toc178592333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92564" w:rsidRDefault="00C62965">
      <w:pPr>
        <w:pStyle w:val="Subsection"/>
      </w:pPr>
      <w:r>
        <w:tab/>
      </w:r>
      <w:r>
        <w:tab/>
      </w:r>
      <w:bookmarkStart w:id="10" w:name="Start_Cursor"/>
      <w:bookmarkEnd w:id="10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Swan and Canning Rivers (Transitional) Regulations (No. 2) 2007</w:t>
      </w:r>
      <w:r>
        <w:t>.</w:t>
      </w:r>
    </w:p>
    <w:p w:rsidR="00092564" w:rsidRDefault="00C62965">
      <w:pPr>
        <w:pStyle w:val="Heading5"/>
      </w:pPr>
      <w:bookmarkStart w:id="11" w:name="_Toc178592334"/>
      <w:r>
        <w:rPr>
          <w:rStyle w:val="CharSectno"/>
        </w:rPr>
        <w:t>2</w:t>
      </w:r>
      <w:r>
        <w:t>.</w:t>
      </w:r>
      <w:r>
        <w:tab/>
        <w:t>Commencement</w:t>
      </w:r>
      <w:bookmarkEnd w:id="11"/>
    </w:p>
    <w:p w:rsidR="00092564" w:rsidRDefault="00C62965">
      <w:pPr>
        <w:pStyle w:val="Subsection"/>
      </w:pPr>
      <w:r>
        <w:tab/>
      </w:r>
      <w:r>
        <w:tab/>
        <w:t>These regulations come into operation as follows:</w:t>
      </w:r>
    </w:p>
    <w:p w:rsidR="00092564" w:rsidRDefault="00C62965"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092564" w:rsidRDefault="00C62965">
      <w:pPr>
        <w:pStyle w:val="Indenta"/>
      </w:pPr>
      <w:r>
        <w:tab/>
        <w:t>(b)</w:t>
      </w:r>
      <w:r>
        <w:tab/>
        <w:t>the rest of the regulations — on the day after that day.</w:t>
      </w:r>
    </w:p>
    <w:p w:rsidR="00092564" w:rsidRDefault="00C62965">
      <w:pPr>
        <w:pStyle w:val="Heading5"/>
      </w:pPr>
      <w:bookmarkStart w:id="12" w:name="_Toc178592335"/>
      <w:r>
        <w:rPr>
          <w:rStyle w:val="CharSectno"/>
        </w:rPr>
        <w:t>3</w:t>
      </w:r>
      <w:r>
        <w:t>.</w:t>
      </w:r>
      <w:r>
        <w:tab/>
        <w:t>Leased parts of the River reserve</w:t>
      </w:r>
      <w:bookmarkEnd w:id="12"/>
    </w:p>
    <w:p w:rsidR="00092564" w:rsidRDefault="00C62965">
      <w:pPr>
        <w:pStyle w:val="Subsection"/>
      </w:pPr>
      <w:r>
        <w:tab/>
      </w:r>
      <w:r>
        <w:tab/>
        <w:t xml:space="preserve">If the Minister and the Minister to whom the administration of the </w:t>
      </w:r>
      <w:r>
        <w:rPr>
          <w:i/>
          <w:iCs/>
        </w:rPr>
        <w:t>Marine and Harbours Act 1981</w:t>
      </w:r>
      <w:r>
        <w:t xml:space="preserve"> is committed so approve, in respect of a lease referred to in the </w:t>
      </w:r>
      <w:r>
        <w:rPr>
          <w:i/>
          <w:iCs/>
        </w:rPr>
        <w:t xml:space="preserve">Swan and Canning Rivers (Consequential and Transitional Provisions) Act 2006 </w:t>
      </w:r>
      <w:r>
        <w:t xml:space="preserve">section 13 — </w:t>
      </w:r>
    </w:p>
    <w:p w:rsidR="00092564" w:rsidRDefault="00C62965">
      <w:pPr>
        <w:pStyle w:val="Indenta"/>
      </w:pPr>
      <w:r>
        <w:tab/>
        <w:t>(a)</w:t>
      </w:r>
      <w:r>
        <w:tab/>
        <w:t xml:space="preserve">the department responsible for administering the </w:t>
      </w:r>
      <w:r>
        <w:rPr>
          <w:i/>
          <w:iCs/>
        </w:rPr>
        <w:t>Marine and Harbours Act 1981</w:t>
      </w:r>
      <w:r>
        <w:t xml:space="preserve"> may manage the lease as an agent of the Trust; and</w:t>
      </w:r>
    </w:p>
    <w:p w:rsidR="00092564" w:rsidRDefault="00C62965">
      <w:pPr>
        <w:pStyle w:val="Indenta"/>
      </w:pPr>
      <w:r>
        <w:tab/>
        <w:t>(b)</w:t>
      </w:r>
      <w:r>
        <w:tab/>
        <w:t xml:space="preserve">with the approval of the Treasurer, revenue derived from the lease may be credited to an agency special purpose account of the department established and administered under the </w:t>
      </w:r>
      <w:r>
        <w:rPr>
          <w:i/>
          <w:iCs/>
        </w:rPr>
        <w:t>Financial Management Act 2006</w:t>
      </w:r>
      <w:r>
        <w:t xml:space="preserve"> section 16.</w:t>
      </w:r>
    </w:p>
    <w:p w:rsidR="00092564" w:rsidRDefault="00092564">
      <w:pPr>
        <w:sectPr w:rsidR="0009256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92564" w:rsidRDefault="00C62965">
      <w:pPr>
        <w:pStyle w:val="nHeading2"/>
      </w:pPr>
      <w:bookmarkStart w:id="13" w:name="_Toc113695922"/>
      <w:bookmarkStart w:id="14" w:name="_Toc178589310"/>
      <w:bookmarkStart w:id="15" w:name="_Toc178589421"/>
      <w:bookmarkStart w:id="16" w:name="_Toc178592336"/>
      <w:r>
        <w:t>Notes</w:t>
      </w:r>
      <w:bookmarkEnd w:id="13"/>
      <w:bookmarkEnd w:id="14"/>
      <w:bookmarkEnd w:id="15"/>
      <w:bookmarkEnd w:id="16"/>
    </w:p>
    <w:p w:rsidR="00092564" w:rsidRDefault="00C62965">
      <w:pPr>
        <w:pStyle w:val="nSubsection"/>
        <w:rPr>
          <w:snapToGrid w:val="0"/>
        </w:rPr>
      </w:pPr>
      <w:bookmarkStart w:id="17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Swan and Canning Rivers (Transitional) Regulations (No. 2) 2007</w:t>
      </w:r>
      <w:r>
        <w:rPr>
          <w:snapToGrid w:val="0"/>
        </w:rPr>
        <w:t xml:space="preserve">.  The following table contains information about those regulations. </w:t>
      </w:r>
    </w:p>
    <w:p w:rsidR="00092564" w:rsidRDefault="00092564">
      <w:pPr>
        <w:pStyle w:val="nHeading3"/>
      </w:pPr>
    </w:p>
    <w:p w:rsidR="00092564" w:rsidRDefault="00C62965">
      <w:pPr>
        <w:pStyle w:val="nHeading3"/>
      </w:pPr>
      <w:bookmarkStart w:id="18" w:name="_Toc178592337"/>
      <w:r>
        <w:t>Compilation table</w:t>
      </w:r>
      <w:bookmarkEnd w:id="17"/>
      <w:bookmarkEnd w:id="1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92564">
        <w:trPr>
          <w:tblHeader/>
        </w:trPr>
        <w:tc>
          <w:tcPr>
            <w:tcW w:w="3118" w:type="dxa"/>
          </w:tcPr>
          <w:p w:rsidR="00092564" w:rsidRDefault="00C6296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092564" w:rsidRDefault="00C6296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092564" w:rsidRDefault="00C62965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092564">
        <w:tc>
          <w:tcPr>
            <w:tcW w:w="3118" w:type="dxa"/>
          </w:tcPr>
          <w:p w:rsidR="00092564" w:rsidRDefault="00C6296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Swan and Canning Rivers (Transitional) Regulations (No. 2) 2007</w:t>
            </w:r>
          </w:p>
        </w:tc>
        <w:tc>
          <w:tcPr>
            <w:tcW w:w="1276" w:type="dxa"/>
          </w:tcPr>
          <w:p w:rsidR="00092564" w:rsidRDefault="00C62965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2007 p. 4849</w:t>
            </w:r>
            <w:r>
              <w:rPr>
                <w:sz w:val="19"/>
              </w:rPr>
              <w:noBreakHyphen/>
              <w:t>52</w:t>
            </w:r>
          </w:p>
        </w:tc>
        <w:tc>
          <w:tcPr>
            <w:tcW w:w="2693" w:type="dxa"/>
          </w:tcPr>
          <w:p w:rsidR="00092564" w:rsidRDefault="00C62965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26 Sep 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27 Sep 2007 (see r. 2(b))</w:t>
            </w:r>
          </w:p>
        </w:tc>
      </w:tr>
    </w:tbl>
    <w:p w:rsidR="00092564" w:rsidRDefault="00092564"/>
    <w:p w:rsidR="00092564" w:rsidRDefault="00092564">
      <w:pPr>
        <w:sectPr w:rsidR="00092564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92564" w:rsidRDefault="00092564"/>
    <w:sectPr w:rsidR="00092564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64" w:rsidRDefault="00C62965">
      <w:pPr>
        <w:rPr>
          <w:b/>
          <w:sz w:val="28"/>
        </w:rPr>
      </w:pPr>
      <w:r>
        <w:rPr>
          <w:b/>
          <w:sz w:val="28"/>
        </w:rPr>
        <w:t>Endnotes</w:t>
      </w:r>
    </w:p>
    <w:p w:rsidR="00092564" w:rsidRDefault="00C6296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092564" w:rsidRDefault="00092564"/>
  </w:endnote>
  <w:endnote w:type="continuationSeparator" w:id="0">
    <w:p w:rsidR="00092564" w:rsidRDefault="00092564">
      <w:pPr>
        <w:pStyle w:val="Footer"/>
      </w:pPr>
    </w:p>
    <w:p w:rsidR="00092564" w:rsidRDefault="00092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7458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7458E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7458E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Footer"/>
      <w:tabs>
        <w:tab w:val="clear" w:pos="4153"/>
        <w:tab w:val="right" w:pos="7088"/>
      </w:tabs>
      <w:rPr>
        <w:rStyle w:val="PageNumber"/>
      </w:rPr>
    </w:pPr>
  </w:p>
  <w:p w:rsidR="00092564" w:rsidRDefault="00C6296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27 Sep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7458E">
      <w:rPr>
        <w:rFonts w:ascii="Arial" w:hAnsi="Arial" w:cs="Arial"/>
        <w:sz w:val="20"/>
        <w:lang w:val="en-US"/>
      </w:rPr>
      <w:t>00-a0-03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7458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92564" w:rsidRDefault="00C62965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64" w:rsidRDefault="00C62965">
      <w:r>
        <w:separator/>
      </w:r>
    </w:p>
  </w:footnote>
  <w:footnote w:type="continuationSeparator" w:id="0">
    <w:p w:rsidR="00092564" w:rsidRDefault="00C6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C62965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7458E">
      <w:rPr>
        <w:i/>
        <w:noProof/>
      </w:rPr>
      <w:t>Swan and Canning Rivers (Transitional) Regulations (No. 2) 2007</w:t>
    </w:r>
    <w:r>
      <w:rPr>
        <w:i/>
      </w:rPr>
      <w:fldChar w:fldCharType="end"/>
    </w:r>
  </w:p>
  <w:p w:rsidR="00092564" w:rsidRDefault="00C62965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092564" w:rsidRDefault="00C62965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092564" w:rsidRDefault="00092564">
    <w:pPr>
      <w:pStyle w:val="headerpart"/>
    </w:pPr>
  </w:p>
  <w:p w:rsidR="00092564" w:rsidRDefault="00092564">
    <w:pPr>
      <w:pBdr>
        <w:bottom w:val="single" w:sz="6" w:space="1" w:color="auto"/>
      </w:pBdr>
      <w:rPr>
        <w:b/>
      </w:rPr>
    </w:pPr>
  </w:p>
  <w:p w:rsidR="00092564" w:rsidRDefault="0009256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ActNameRight"/>
            <w:ind w:right="17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5715" w:type="dxa"/>
        </w:tcPr>
        <w:p w:rsidR="00092564" w:rsidRDefault="00092564">
          <w:pPr>
            <w:pStyle w:val="HeaderTextRight"/>
          </w:pPr>
        </w:p>
      </w:tc>
      <w:tc>
        <w:tcPr>
          <w:tcW w:w="1548" w:type="dxa"/>
        </w:tcPr>
        <w:p w:rsidR="00092564" w:rsidRDefault="00092564">
          <w:pPr>
            <w:pStyle w:val="HeaderNumberRight"/>
            <w:ind w:right="17"/>
          </w:pPr>
        </w:p>
      </w:tc>
    </w:tr>
    <w:tr w:rsidR="00092564">
      <w:tc>
        <w:tcPr>
          <w:tcW w:w="5715" w:type="dxa"/>
        </w:tcPr>
        <w:p w:rsidR="00092564" w:rsidRDefault="00092564">
          <w:pPr>
            <w:pStyle w:val="HeaderTextRight"/>
          </w:pPr>
        </w:p>
      </w:tc>
      <w:tc>
        <w:tcPr>
          <w:tcW w:w="1548" w:type="dxa"/>
        </w:tcPr>
        <w:p w:rsidR="00092564" w:rsidRDefault="00092564">
          <w:pPr>
            <w:pStyle w:val="HeaderNumberRight"/>
            <w:ind w:right="17"/>
          </w:pPr>
        </w:p>
      </w:tc>
    </w:tr>
    <w:tr w:rsidR="00092564">
      <w:trPr>
        <w:cantSplit/>
      </w:trPr>
      <w:tc>
        <w:tcPr>
          <w:tcW w:w="7258" w:type="dxa"/>
          <w:gridSpan w:val="2"/>
        </w:tcPr>
        <w:p w:rsidR="00092564" w:rsidRDefault="00092564">
          <w:pPr>
            <w:pStyle w:val="HeaderSectionRight"/>
            <w:ind w:right="17"/>
          </w:pPr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92564">
      <w:trPr>
        <w:cantSplit/>
      </w:trPr>
      <w:tc>
        <w:tcPr>
          <w:tcW w:w="7312" w:type="dxa"/>
          <w:gridSpan w:val="2"/>
        </w:tcPr>
        <w:p w:rsidR="00092564" w:rsidRDefault="00C62965">
          <w:pPr>
            <w:pStyle w:val="HeaderActNameLeft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1548" w:type="dxa"/>
        </w:tcPr>
        <w:p w:rsidR="00092564" w:rsidRDefault="00092564">
          <w:pPr>
            <w:pStyle w:val="HeaderNumberLeft"/>
          </w:pPr>
        </w:p>
      </w:tc>
      <w:tc>
        <w:tcPr>
          <w:tcW w:w="5764" w:type="dxa"/>
        </w:tcPr>
        <w:p w:rsidR="00092564" w:rsidRDefault="00092564">
          <w:pPr>
            <w:pStyle w:val="HeaderTextLeft"/>
          </w:pPr>
        </w:p>
      </w:tc>
    </w:tr>
    <w:tr w:rsidR="00092564">
      <w:tc>
        <w:tcPr>
          <w:tcW w:w="1548" w:type="dxa"/>
        </w:tcPr>
        <w:p w:rsidR="00092564" w:rsidRDefault="00092564">
          <w:pPr>
            <w:pStyle w:val="HeaderNumberLeft"/>
          </w:pPr>
        </w:p>
      </w:tc>
      <w:tc>
        <w:tcPr>
          <w:tcW w:w="5764" w:type="dxa"/>
        </w:tcPr>
        <w:p w:rsidR="00092564" w:rsidRDefault="00092564">
          <w:pPr>
            <w:pStyle w:val="HeaderTextLeft"/>
          </w:pPr>
        </w:p>
      </w:tc>
    </w:tr>
    <w:tr w:rsidR="00092564">
      <w:trPr>
        <w:cantSplit/>
      </w:trPr>
      <w:tc>
        <w:tcPr>
          <w:tcW w:w="7312" w:type="dxa"/>
          <w:gridSpan w:val="2"/>
        </w:tcPr>
        <w:p w:rsidR="00092564" w:rsidRDefault="00092564">
          <w:pPr>
            <w:pStyle w:val="HeaderSectionLeft"/>
          </w:pPr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8E" w:rsidRDefault="003745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58E" w:rsidRDefault="003745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ActNameLeft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1548" w:type="dxa"/>
        </w:tcPr>
        <w:p w:rsidR="00092564" w:rsidRDefault="00092564">
          <w:pPr>
            <w:pStyle w:val="HeaderNumberLeft"/>
          </w:pPr>
        </w:p>
      </w:tc>
      <w:tc>
        <w:tcPr>
          <w:tcW w:w="5715" w:type="dxa"/>
        </w:tcPr>
        <w:p w:rsidR="00092564" w:rsidRDefault="00092564">
          <w:pPr>
            <w:pStyle w:val="HeaderTextLeft"/>
          </w:pPr>
        </w:p>
      </w:tc>
    </w:tr>
    <w:tr w:rsidR="00092564">
      <w:tc>
        <w:tcPr>
          <w:tcW w:w="1548" w:type="dxa"/>
        </w:tcPr>
        <w:p w:rsidR="00092564" w:rsidRDefault="00092564">
          <w:pPr>
            <w:pStyle w:val="HeaderNumberLeft"/>
          </w:pPr>
        </w:p>
      </w:tc>
      <w:tc>
        <w:tcPr>
          <w:tcW w:w="5715" w:type="dxa"/>
        </w:tcPr>
        <w:p w:rsidR="00092564" w:rsidRDefault="00092564">
          <w:pPr>
            <w:pStyle w:val="HeaderTextLeft"/>
          </w:pPr>
        </w:p>
      </w:tc>
    </w:tr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ActNameRight"/>
            <w:ind w:right="17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5715" w:type="dxa"/>
        </w:tcPr>
        <w:p w:rsidR="00092564" w:rsidRDefault="00092564">
          <w:pPr>
            <w:pStyle w:val="HeaderTextRight"/>
          </w:pPr>
        </w:p>
      </w:tc>
      <w:tc>
        <w:tcPr>
          <w:tcW w:w="1548" w:type="dxa"/>
        </w:tcPr>
        <w:p w:rsidR="00092564" w:rsidRDefault="00092564">
          <w:pPr>
            <w:pStyle w:val="HeaderNumberRight"/>
            <w:ind w:right="17"/>
          </w:pPr>
        </w:p>
      </w:tc>
    </w:tr>
    <w:tr w:rsidR="00092564">
      <w:tc>
        <w:tcPr>
          <w:tcW w:w="5715" w:type="dxa"/>
        </w:tcPr>
        <w:p w:rsidR="00092564" w:rsidRDefault="00092564">
          <w:pPr>
            <w:pStyle w:val="HeaderTextRight"/>
          </w:pPr>
        </w:p>
      </w:tc>
      <w:tc>
        <w:tcPr>
          <w:tcW w:w="1548" w:type="dxa"/>
        </w:tcPr>
        <w:p w:rsidR="00092564" w:rsidRDefault="00092564">
          <w:pPr>
            <w:pStyle w:val="HeaderNumberRight"/>
            <w:ind w:right="17"/>
          </w:pPr>
        </w:p>
      </w:tc>
    </w:tr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ActNameLeft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1548" w:type="dxa"/>
        </w:tcPr>
        <w:p w:rsidR="00092564" w:rsidRDefault="00C6296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092564" w:rsidRDefault="00C6296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92564">
      <w:tc>
        <w:tcPr>
          <w:tcW w:w="1548" w:type="dxa"/>
        </w:tcPr>
        <w:p w:rsidR="00092564" w:rsidRDefault="00C6296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092564" w:rsidRDefault="00C6296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SectionLeft"/>
          </w:pPr>
          <w:r>
            <w:t xml:space="preserve">r. </w:t>
          </w:r>
          <w:fldSimple w:instr=" styleref CharSectno ">
            <w:r w:rsidR="0037458E">
              <w:rPr>
                <w:noProof/>
              </w:rPr>
              <w:t>1</w:t>
            </w:r>
          </w:fldSimple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ActNameRight"/>
            <w:ind w:right="17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5715" w:type="dxa"/>
        </w:tcPr>
        <w:p w:rsidR="00092564" w:rsidRDefault="00C6296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92564" w:rsidRDefault="00C6296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092564">
      <w:tc>
        <w:tcPr>
          <w:tcW w:w="5715" w:type="dxa"/>
        </w:tcPr>
        <w:p w:rsidR="00092564" w:rsidRDefault="00C6296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92564" w:rsidRDefault="00C6296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37458E">
              <w:rPr>
                <w:noProof/>
              </w:rPr>
              <w:t>1</w:t>
            </w:r>
          </w:fldSimple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4" w:rsidRDefault="0009256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92564">
      <w:trPr>
        <w:cantSplit/>
      </w:trPr>
      <w:tc>
        <w:tcPr>
          <w:tcW w:w="7258" w:type="dxa"/>
          <w:gridSpan w:val="2"/>
        </w:tcPr>
        <w:p w:rsidR="00092564" w:rsidRDefault="00C62965">
          <w:pPr>
            <w:pStyle w:val="HeaderActNameLeft"/>
          </w:pPr>
          <w:fldSimple w:instr=" Styleref &quot;Name of Act/Reg&quot; ">
            <w:r w:rsidR="0037458E">
              <w:rPr>
                <w:noProof/>
              </w:rPr>
              <w:t>Swan and Canning Rivers (Transitional) Regulations (No. 2) 2007</w:t>
            </w:r>
          </w:fldSimple>
        </w:p>
      </w:tc>
    </w:tr>
    <w:tr w:rsidR="00092564">
      <w:tc>
        <w:tcPr>
          <w:tcW w:w="1548" w:type="dxa"/>
        </w:tcPr>
        <w:p w:rsidR="00092564" w:rsidRDefault="00092564">
          <w:pPr>
            <w:pStyle w:val="HeaderNumberLeft"/>
          </w:pPr>
        </w:p>
      </w:tc>
      <w:tc>
        <w:tcPr>
          <w:tcW w:w="5715" w:type="dxa"/>
        </w:tcPr>
        <w:p w:rsidR="00092564" w:rsidRDefault="00092564">
          <w:pPr>
            <w:pStyle w:val="HeaderTextLeft"/>
          </w:pPr>
        </w:p>
      </w:tc>
    </w:tr>
    <w:tr w:rsidR="00092564">
      <w:tc>
        <w:tcPr>
          <w:tcW w:w="1548" w:type="dxa"/>
        </w:tcPr>
        <w:p w:rsidR="00092564" w:rsidRDefault="00092564">
          <w:pPr>
            <w:pStyle w:val="HeaderNumberLeft"/>
          </w:pPr>
        </w:p>
      </w:tc>
      <w:tc>
        <w:tcPr>
          <w:tcW w:w="5715" w:type="dxa"/>
        </w:tcPr>
        <w:p w:rsidR="00092564" w:rsidRDefault="00092564">
          <w:pPr>
            <w:pStyle w:val="HeaderTextLeft"/>
          </w:pPr>
        </w:p>
      </w:tc>
    </w:tr>
    <w:tr w:rsidR="00092564">
      <w:trPr>
        <w:cantSplit/>
      </w:trPr>
      <w:tc>
        <w:tcPr>
          <w:tcW w:w="7258" w:type="dxa"/>
          <w:gridSpan w:val="2"/>
        </w:tcPr>
        <w:p w:rsidR="00092564" w:rsidRDefault="00092564">
          <w:pPr>
            <w:pStyle w:val="HeaderSectionRight"/>
            <w:ind w:right="17"/>
            <w:jc w:val="left"/>
          </w:pPr>
        </w:p>
      </w:tc>
    </w:tr>
  </w:tbl>
  <w:p w:rsidR="00092564" w:rsidRDefault="0009256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65"/>
    <w:rsid w:val="00092564"/>
    <w:rsid w:val="0037458E"/>
    <w:rsid w:val="00520F46"/>
    <w:rsid w:val="00BD35C2"/>
    <w:rsid w:val="00C6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1953</Characters>
  <Application>Microsoft Office Word</Application>
  <DocSecurity>0</DocSecurity>
  <Lines>81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and Canning Rivers (Transitional) Regulations (No. 2) 2007 - 00-a0-03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2007-09-11T01:39:00Z</cp:lastPrinted>
  <dcterms:created xsi:type="dcterms:W3CDTF">2013-02-19T01:16:00Z</dcterms:created>
  <dcterms:modified xsi:type="dcterms:W3CDTF">2013-02-19T01:16:00Z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Sep 2007 p 4849-52</vt:lpwstr>
  </property>
  <property fmtid="{D5CDD505-2E9C-101B-9397-08002B2CF9AE}" pid="3" name="CommencementDate">
    <vt:lpwstr>20070927</vt:lpwstr>
  </property>
  <property fmtid="{D5CDD505-2E9C-101B-9397-08002B2CF9AE}" pid="4" name="DocumentType">
    <vt:lpwstr>Reg</vt:lpwstr>
  </property>
  <property fmtid="{D5CDD505-2E9C-101B-9397-08002B2CF9AE}" pid="5" name="OwlsUID">
    <vt:i4>40208</vt:i4>
  </property>
  <property fmtid="{D5CDD505-2E9C-101B-9397-08002B2CF9AE}" pid="6" name="AsAtDate">
    <vt:lpwstr>27 Sep 2007</vt:lpwstr>
  </property>
  <property fmtid="{D5CDD505-2E9C-101B-9397-08002B2CF9AE}" pid="7" name="Suffix">
    <vt:lpwstr>00-a0-03</vt:lpwstr>
  </property>
</Properties>
</file>