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pageBreakBefore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426" w:right="85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_Toc178738918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_Toc178738919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Prescribed offences</w:t>
      </w:r>
      <w:r>
        <w:tab/>
      </w:r>
      <w:r>
        <w:fldChar w:fldCharType="begin"/>
      </w:r>
      <w:r>
        <w:instrText xml:space="preserve"> PAGEREF _Toc178738920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Modified penalty</w:t>
      </w:r>
      <w:r>
        <w:tab/>
      </w:r>
      <w:r>
        <w:fldChar w:fldCharType="begin"/>
      </w:r>
      <w:r>
        <w:instrText xml:space="preserve"> PAGEREF _Toc178738921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Prescribed, authorised and designated persons (s. 103)</w:t>
      </w:r>
      <w:r>
        <w:tab/>
      </w:r>
      <w:r>
        <w:fldChar w:fldCharType="begin"/>
      </w:r>
      <w:r>
        <w:instrText xml:space="preserve"> PAGEREF _Toc178738922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_Toc178738923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 of unauthorised alteration of infringement notices</w:t>
      </w:r>
      <w:r>
        <w:tab/>
      </w:r>
      <w:r>
        <w:fldChar w:fldCharType="begin"/>
      </w:r>
      <w:r>
        <w:instrText xml:space="preserve"> PAGEREF _Toc178738924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_Toc178738927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17692218"/>
      <w:bookmarkStart w:id="2" w:name="_Toc128543661"/>
      <w:bookmarkStart w:id="3" w:name="_Toc17873891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4" w:name="_Toc17692219"/>
      <w:bookmarkStart w:id="5" w:name="_Toc128543662"/>
      <w:bookmarkStart w:id="6" w:name="_Toc17873891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7" w:name="_Toc17692220"/>
      <w:bookmarkStart w:id="8" w:name="_Toc128543663"/>
      <w:bookmarkStart w:id="9" w:name="_Toc178738920"/>
      <w:r>
        <w:t>3.</w:t>
      </w:r>
      <w:r>
        <w:tab/>
        <w:t>Prescribed offences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>The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 xml:space="preserve">laws 2007 </w:t>
      </w:r>
      <w:r>
        <w:t>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5407; amended in Gazette 28 Sep 2007 p. 4934.] </w:t>
      </w:r>
    </w:p>
    <w:p>
      <w:pPr>
        <w:pStyle w:val="Heading5"/>
        <w:rPr>
          <w:snapToGrid w:val="0"/>
        </w:rPr>
      </w:pPr>
      <w:bookmarkStart w:id="10" w:name="_Toc17692221"/>
      <w:bookmarkStart w:id="11" w:name="_Toc128543664"/>
      <w:bookmarkStart w:id="12" w:name="_Toc17873892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13" w:name="_Toc17692222"/>
      <w:bookmarkStart w:id="14" w:name="_Toc128543665"/>
      <w:bookmarkStart w:id="15" w:name="_Toc178738922"/>
      <w:r>
        <w:rPr>
          <w:rStyle w:val="CharSectno"/>
        </w:rPr>
        <w:lastRenderedPageBreak/>
        <w:t>5</w:t>
      </w:r>
      <w:r>
        <w:t>.</w:t>
      </w:r>
      <w:r>
        <w:tab/>
        <w:t>Prescribed, authorised and designated persons (s. 103)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section 103 of the Act and this regulation, a </w:t>
      </w:r>
      <w:r>
        <w:rPr>
          <w:rStyle w:val="CharDefText"/>
        </w:rPr>
        <w:t>prescribed person</w:t>
      </w:r>
      <w:r>
        <w:rPr>
          <w:b/>
        </w:rPr>
        <w:t xml:space="preserve"> </w:t>
      </w:r>
      <w:r>
        <w:t>is a person holding or acting in the office of the Corporation known as —</w:t>
      </w:r>
    </w:p>
    <w:p>
      <w:pPr>
        <w:pStyle w:val="Indenta"/>
      </w:pPr>
      <w:r>
        <w:tab/>
        <w:t>(a)</w:t>
      </w:r>
      <w:r>
        <w:tab/>
        <w:t>General Manager, Customer Services Division;</w:t>
      </w:r>
    </w:p>
    <w:p>
      <w:pPr>
        <w:pStyle w:val="Indenta"/>
      </w:pPr>
      <w:r>
        <w:tab/>
        <w:t>(b)</w:t>
      </w:r>
      <w:r>
        <w:tab/>
        <w:t>Regional Business Manager, Perth Region;</w:t>
      </w:r>
    </w:p>
    <w:p>
      <w:pPr>
        <w:pStyle w:val="Indenta"/>
      </w:pPr>
      <w:r>
        <w:tab/>
        <w:t>(c)</w:t>
      </w:r>
      <w:r>
        <w:tab/>
        <w:t>Regional Business Manager, North West Region;</w:t>
      </w:r>
    </w:p>
    <w:p>
      <w:pPr>
        <w:pStyle w:val="Indenta"/>
      </w:pPr>
      <w:r>
        <w:tab/>
        <w:t>(d)</w:t>
      </w:r>
      <w:r>
        <w:tab/>
        <w:t>Regional Business Manager, Mid West Region;</w:t>
      </w:r>
    </w:p>
    <w:p>
      <w:pPr>
        <w:pStyle w:val="Indenta"/>
      </w:pPr>
      <w:r>
        <w:tab/>
        <w:t>(e)</w:t>
      </w:r>
      <w:r>
        <w:tab/>
        <w:t>Regional Business Manager, Goldfields Region;</w:t>
      </w:r>
    </w:p>
    <w:p>
      <w:pPr>
        <w:pStyle w:val="Indenta"/>
      </w:pPr>
      <w:r>
        <w:tab/>
        <w:t>(f)</w:t>
      </w:r>
      <w:r>
        <w:tab/>
        <w:t>Regional Business Manager, South West Region;</w:t>
      </w:r>
    </w:p>
    <w:p>
      <w:pPr>
        <w:pStyle w:val="Indenta"/>
      </w:pPr>
      <w:r>
        <w:tab/>
        <w:t>(g)</w:t>
      </w:r>
      <w:r>
        <w:tab/>
        <w:t>Regional Business Manager, Great Southern Region;</w:t>
      </w:r>
    </w:p>
    <w:p>
      <w:pPr>
        <w:pStyle w:val="Indenta"/>
      </w:pPr>
      <w:r>
        <w:tab/>
        <w:t>(h)</w:t>
      </w:r>
      <w:r>
        <w:tab/>
        <w:t>Regional Business Manager, Agricultural Region;</w:t>
      </w:r>
    </w:p>
    <w:p>
      <w:pPr>
        <w:pStyle w:val="Indenta"/>
      </w:pPr>
      <w:r>
        <w:tab/>
        <w:t>(i)</w:t>
      </w:r>
      <w:r>
        <w:tab/>
        <w:t>Manager, Customer Centre; or</w:t>
      </w:r>
    </w:p>
    <w:p>
      <w:pPr>
        <w:pStyle w:val="Indenta"/>
      </w:pPr>
      <w:r>
        <w:tab/>
        <w:t>(j)</w:t>
      </w:r>
      <w:r>
        <w:tab/>
        <w:t>Manager, Metering Services.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 103 of the Act, a </w:t>
      </w:r>
      <w:r>
        <w:rPr>
          <w:rStyle w:val="CharDefText"/>
        </w:rPr>
        <w:t>designated person</w:t>
      </w:r>
      <w:r>
        <w:t xml:space="preserve"> is the person holding or acting in the office of the Corporation known as Manager, Receivables and Business Support.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4934.]</w:t>
      </w:r>
    </w:p>
    <w:p>
      <w:pPr>
        <w:pStyle w:val="Heading5"/>
        <w:rPr>
          <w:snapToGrid w:val="0"/>
        </w:rPr>
      </w:pPr>
      <w:bookmarkStart w:id="16" w:name="_Toc17692223"/>
      <w:bookmarkStart w:id="17" w:name="_Toc128543666"/>
      <w:bookmarkStart w:id="18" w:name="_Toc17873892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forms set out in the Schedule are prescribed for the respective purposes for which forms are required by section 103(2), (6) and (11) of the Act.</w:t>
      </w:r>
    </w:p>
    <w:p>
      <w:pPr>
        <w:pStyle w:val="Heading5"/>
        <w:rPr>
          <w:snapToGrid w:val="0"/>
        </w:rPr>
      </w:pPr>
      <w:bookmarkStart w:id="19" w:name="_Toc17692224"/>
      <w:bookmarkStart w:id="20" w:name="_Toc128543667"/>
      <w:bookmarkStart w:id="21" w:name="_Toc178738924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28543668"/>
      <w:bookmarkStart w:id="23" w:name="_Toc128543746"/>
      <w:bookmarkStart w:id="24" w:name="_Toc178736003"/>
      <w:bookmarkStart w:id="25" w:name="_Toc178738925"/>
      <w:r>
        <w:rPr>
          <w:rStyle w:val="CharSchNo"/>
        </w:rPr>
        <w:lastRenderedPageBreak/>
        <w:t>Schedule</w:t>
      </w:r>
      <w:bookmarkEnd w:id="22"/>
      <w:bookmarkEnd w:id="23"/>
      <w:bookmarkEnd w:id="24"/>
      <w:bookmarkEnd w:id="25"/>
      <w:r>
        <w:rPr>
          <w:rStyle w:val="CharSchText"/>
        </w:rPr>
        <w:t xml:space="preserve"> 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[Regulation 5]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Form 1</w:t>
      </w:r>
    </w:p>
    <w:p>
      <w:pPr>
        <w:pStyle w:val="yMiscellaneousBody"/>
        <w:spacing w:before="80"/>
        <w:jc w:val="center"/>
        <w:rPr>
          <w:snapToGrid w:val="0"/>
        </w:rPr>
      </w:pPr>
      <w:r>
        <w:rPr>
          <w:snapToGrid w:val="0"/>
        </w:rPr>
        <w:t>WATER CORPORATION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INFRINGEMENT 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 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103(2))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851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418"/>
          <w:tab w:val="left" w:pos="5103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It is alleged that at .......................... hours on ............................... the 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day of .............................. 20....... at 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you committed the offence of using water supplied by the Corporation in contravention of the stage of restrictions applicable under </w:t>
      </w:r>
      <w:r>
        <w:t xml:space="preserve">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 2007</w:t>
      </w:r>
      <w:r>
        <w:t>, contrary to by</w:t>
      </w:r>
      <w:r>
        <w:noBreakHyphen/>
        <w:t>law 4.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....................................</w:t>
      </w:r>
    </w:p>
    <w:p>
      <w:pPr>
        <w:pStyle w:val="yMiscellaneousBody"/>
        <w:tabs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Authorised person</w:t>
      </w:r>
    </w:p>
    <w:p>
      <w:pPr>
        <w:pStyle w:val="yMiscellaneousBody"/>
        <w:tabs>
          <w:tab w:val="left" w:pos="284"/>
        </w:tabs>
        <w:spacing w:before="120"/>
        <w:ind w:left="284" w:hanging="284"/>
        <w:rPr>
          <w:snapToGrid w:val="0"/>
        </w:rPr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You may dispose of this matter either — </w:t>
      </w:r>
    </w:p>
    <w:p>
      <w:pPr>
        <w:pStyle w:val="yMiscellaneousBody"/>
        <w:tabs>
          <w:tab w:val="left" w:pos="567"/>
        </w:tabs>
        <w:spacing w:before="80"/>
        <w:ind w:left="1134" w:hanging="1134"/>
      </w:pPr>
      <w:r>
        <w:tab/>
        <w:t>(a)</w:t>
      </w:r>
      <w:r>
        <w:tab/>
        <w:t>by payment of the modified penalty of …… within 21 days of the date of this notice;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by having it dealt with by a court.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If the modified penalty is not paid within the time specified, court proceedings may be taken against you.</w:t>
      </w:r>
    </w:p>
    <w:p>
      <w:pPr>
        <w:pStyle w:val="yMiscellaneousBody"/>
        <w:spacing w:before="120"/>
      </w:pPr>
      <w:r>
        <w:t>If you are convicted you will be liable to a maximum penalty of $500.</w:t>
      </w:r>
    </w:p>
    <w:p>
      <w:pPr>
        <w:pStyle w:val="yMiscellaneousBody"/>
        <w:spacing w:before="120"/>
      </w:pPr>
      <w:r>
        <w:t>[Payment details to be included with this form]</w:t>
      </w:r>
    </w:p>
    <w:p>
      <w:pPr>
        <w:pStyle w:val="yFootnotesection"/>
      </w:pPr>
      <w:r>
        <w:tab/>
        <w:t>[Form 1 amended in Gazette 24 Feb 2006 p. 889-90; 28 Sep 2007 p. 4935.]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103(6))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134"/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tabs>
          <w:tab w:val="left" w:pos="3119"/>
        </w:tabs>
        <w:spacing w:before="120"/>
        <w:rPr>
          <w:snapToGrid w:val="0"/>
        </w:rPr>
      </w:pPr>
      <w:r>
        <w:rPr>
          <w:snapToGrid w:val="0"/>
        </w:rPr>
        <w:t xml:space="preserve">Infringement Notice No. </w:t>
      </w: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for the alleged offence of using water supplied by the Corporation in contravention of the stage of restrictions applicable under </w:t>
      </w:r>
      <w:r>
        <w:t xml:space="preserve">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 2007</w:t>
      </w:r>
      <w:r>
        <w:t>, contrary to by</w:t>
      </w:r>
      <w:r>
        <w:noBreakHyphen/>
        <w:t xml:space="preserve">law 4, </w:t>
      </w:r>
      <w:r>
        <w:rPr>
          <w:snapToGrid w:val="0"/>
        </w:rPr>
        <w:t xml:space="preserve">on —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 at 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specifying the modified penalty </w:t>
      </w:r>
      <w:r>
        <w:t>of …… is</w:t>
      </w:r>
      <w:r>
        <w:rPr>
          <w:snapToGrid w:val="0"/>
        </w:rPr>
        <w:t xml:space="preserve"> withdrawn.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No further action will be taken.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It is proposed to institute court proceedings for the alleged offence.</w:t>
      </w:r>
    </w:p>
    <w:p>
      <w:pPr>
        <w:pStyle w:val="yMiscellaneousBody"/>
        <w:tabs>
          <w:tab w:val="left" w:pos="2552"/>
        </w:tabs>
        <w:spacing w:before="120"/>
        <w:rPr>
          <w:snapToGrid w:val="0"/>
        </w:rPr>
      </w:pPr>
      <w:r>
        <w:rPr>
          <w:snapToGrid w:val="0"/>
        </w:rPr>
        <w:tab/>
        <w:t>................................................................................</w:t>
      </w:r>
    </w:p>
    <w:p>
      <w:pPr>
        <w:pStyle w:val="yMiscellaneousBody"/>
        <w:tabs>
          <w:tab w:val="left" w:pos="2552"/>
        </w:tabs>
        <w:spacing w:before="0"/>
        <w:rPr>
          <w:snapToGrid w:val="0"/>
        </w:rPr>
      </w:pPr>
      <w:r>
        <w:rPr>
          <w:snapToGrid w:val="0"/>
        </w:rPr>
        <w:tab/>
        <w:t>* General Manager, Customer Services Division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ab/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Regional Manager, .............................Region</w:t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Manager, ........................................................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</w:t>
      </w:r>
      <w:r>
        <w:tab/>
      </w:r>
      <w:r>
        <w:rPr>
          <w:snapToGrid w:val="0"/>
        </w:rPr>
        <w:t>Delete that which is not applicable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Footnotesection"/>
      </w:pPr>
      <w:r>
        <w:tab/>
        <w:t>[Form 2 amended in Gazette 24 Feb 2006 p. 890; 28 Sep 2007 p. 4935.]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3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Certificate of Authorised Person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(section 103(11))</w:t>
      </w:r>
    </w:p>
    <w:p>
      <w:pPr>
        <w:pStyle w:val="yMiscellaneousBody"/>
        <w:spacing w:before="120" w:after="120"/>
        <w:jc w:val="center"/>
        <w:rPr>
          <w:snapToGrid w:val="0"/>
        </w:rPr>
      </w:pPr>
      <w:r>
        <w:rPr>
          <w:snapToGrid w:val="0"/>
        </w:rPr>
        <w:t>(Front)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</w:tblGrid>
      <w:tr>
        <w:trPr>
          <w:cantSplit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jc w:val="center"/>
              <w:rPr>
                <w:snapToGrid w:val="0"/>
              </w:rPr>
            </w:pPr>
            <w:r>
              <w:rPr>
                <w:snapToGrid w:val="0"/>
              </w:rPr>
              <w:t>Water Corporation</w:t>
            </w:r>
          </w:p>
        </w:tc>
      </w:tr>
      <w:tr>
        <w:tc>
          <w:tcPr>
            <w:tcW w:w="709" w:type="dxa"/>
            <w:tcBorders>
              <w:lef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Photograph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MiscellaneousBody"/>
              <w:tabs>
                <w:tab w:val="left" w:pos="1026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Name</w:t>
            </w:r>
          </w:p>
          <w:p>
            <w:pPr>
              <w:pStyle w:val="yMiscellaneousBody"/>
              <w:spacing w:before="0"/>
              <w:rPr>
                <w:snapToGrid w:val="0"/>
              </w:rPr>
            </w:pPr>
            <w:r>
              <w:rPr>
                <w:snapToGrid w:val="0"/>
              </w:rPr>
              <w:t>…………………………………</w:t>
            </w:r>
          </w:p>
          <w:p>
            <w:pPr>
              <w:pStyle w:val="yMiscellaneousBody"/>
              <w:tabs>
                <w:tab w:val="left" w:pos="743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Employee No.</w:t>
            </w:r>
          </w:p>
        </w:tc>
      </w:tr>
      <w:tr>
        <w:trPr>
          <w:cantSplit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</w:tr>
    </w:tbl>
    <w:p>
      <w:pPr>
        <w:pStyle w:val="yMiscellaneousBody"/>
        <w:spacing w:before="240" w:after="120"/>
        <w:jc w:val="center"/>
        <w:rPr>
          <w:snapToGrid w:val="0"/>
        </w:rPr>
      </w:pPr>
      <w:r>
        <w:rPr>
          <w:snapToGrid w:val="0"/>
        </w:rPr>
        <w:t>(Back)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3"/>
      </w:tblGrid>
      <w:tr>
        <w:tc>
          <w:tcPr>
            <w:tcW w:w="66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MiscellaneousBody"/>
              <w:spacing w:before="120"/>
              <w:jc w:val="center"/>
              <w:rPr>
                <w:b/>
                <w:spacing w:val="-2"/>
              </w:rPr>
            </w:pPr>
            <w:r>
              <w:rPr>
                <w:b/>
              </w:rPr>
              <w:t>Certificate of Authorised Person</w:t>
            </w:r>
          </w:p>
          <w:p>
            <w:pPr>
              <w:pStyle w:val="yMiscellaneousBody"/>
              <w:spacing w:before="120"/>
              <w:ind w:left="589" w:right="427" w:hanging="589"/>
            </w:pPr>
            <w:r>
              <w:tab/>
              <w:t xml:space="preserve">This is to certify that the person identified on the front of this certificate is authorised, in accordance with section 103 of the </w:t>
            </w:r>
            <w:r>
              <w:rPr>
                <w:i/>
              </w:rPr>
              <w:t>Water Agencies (Powers) Act 1984</w:t>
            </w:r>
            <w:r>
              <w:t>, to give infringement notices in respect of alleged offences under by</w:t>
            </w:r>
            <w:r>
              <w:noBreakHyphen/>
              <w:t xml:space="preserve">law 4 of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2007</w:t>
            </w:r>
            <w:r>
              <w:t>.</w:t>
            </w:r>
          </w:p>
          <w:p>
            <w:pPr>
              <w:pStyle w:val="yMiscellaneousBody"/>
              <w:spacing w:before="120"/>
            </w:pPr>
          </w:p>
        </w:tc>
      </w:tr>
    </w:tbl>
    <w:p>
      <w:pPr>
        <w:pStyle w:val="yFootnotesection"/>
      </w:pPr>
      <w:r>
        <w:tab/>
        <w:t>[Form 3 amended in Gazette 28 Sep 2007 p. 4935.]</w:t>
      </w:r>
    </w:p>
    <w:p>
      <w:pPr>
        <w:pStyle w:val="yFootnotesection"/>
        <w:tabs>
          <w:tab w:val="clear" w:pos="893"/>
        </w:tabs>
        <w:ind w:left="0" w:firstLine="0"/>
      </w:pPr>
      <w:r>
        <w:t xml:space="preserve"> [Schedule amended in Gazette 29 Dec 1995 p. 6301</w:t>
      </w:r>
      <w:r>
        <w:noBreakHyphen/>
        <w:t xml:space="preserve">2; 17 Feb 1998 p. 923-4; 29 Sep 1998 p. 5407; 29 Oct 1999 p. 5403; 23 Oct 2001 p. 5639; 28 Sep 2007 p. 4935.] 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128543669"/>
      <w:bookmarkStart w:id="27" w:name="_Toc128543747"/>
      <w:bookmarkStart w:id="28" w:name="_Toc178736004"/>
      <w:bookmarkStart w:id="29" w:name="_Toc178738926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30" w:name="_Toc128543670"/>
      <w:bookmarkStart w:id="31" w:name="_Toc178738927"/>
      <w:r>
        <w:rPr>
          <w:snapToGrid w:val="0"/>
        </w:rP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2007 p. 4934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28 Sep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</w:tbl>
    <w:p>
      <w:pPr>
        <w:pStyle w:val="nSubsection"/>
      </w:pPr>
      <w:bookmarkStart w:id="32" w:name="UpToHere"/>
      <w:bookmarkEnd w:id="32"/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29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7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039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BCD0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AE9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DE20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4AA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4A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1A2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2C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9A1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AD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11D8FCD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7DE4056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256"/>
    <w:docVar w:name="WAFER_20151209172256" w:val="RemoveTrackChanges"/>
    <w:docVar w:name="WAFER_20151209172256_GUID" w:val="93b4d78a-f54d-497f-9d9a-4b733a9261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1165</Words>
  <Characters>7893</Characters>
  <Application>Microsoft Office Word</Application>
  <DocSecurity>0</DocSecurity>
  <Lines>263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1994 - 01-c0-05</dc:title>
  <dc:subject/>
  <dc:creator/>
  <cp:keywords/>
  <dc:description/>
  <cp:lastModifiedBy>svcMRProcess</cp:lastModifiedBy>
  <cp:revision>4</cp:revision>
  <cp:lastPrinted>2002-09-13T02:09:00Z</cp:lastPrinted>
  <dcterms:created xsi:type="dcterms:W3CDTF">2015-12-11T08:22:00Z</dcterms:created>
  <dcterms:modified xsi:type="dcterms:W3CDTF">2015-12-11T08:22:00Z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20070929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AsAtDate">
    <vt:lpwstr>29 Sep 2007</vt:lpwstr>
  </property>
  <property fmtid="{D5CDD505-2E9C-101B-9397-08002B2CF9AE}" pid="8" name="Suffix">
    <vt:lpwstr>01-c0-05</vt:lpwstr>
  </property>
</Properties>
</file>