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right="248"/>
      </w:pPr>
      <w:r>
        <w:fldChar w:fldCharType="begin"/>
      </w:r>
      <w:r>
        <w:instrText xml:space="preserve"> STYLEREF "Name Of Act/Reg"</w:instrText>
      </w:r>
      <w:r>
        <w:fldChar w:fldCharType="separate"/>
      </w:r>
      <w:r>
        <w:rPr>
          <w:noProof/>
        </w:rPr>
        <w:t>Local Government (Administration)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_Toc180402135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_Toc180402136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_Toc180402137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Resignation of committee members</w:t>
      </w:r>
      <w:r>
        <w:tab/>
      </w:r>
      <w:r>
        <w:fldChar w:fldCharType="begin"/>
      </w:r>
      <w:r>
        <w:instrText xml:space="preserve"> PAGEREF _Toc180402138 \h </w:instrText>
      </w:r>
      <w:r>
        <w:fldChar w:fldCharType="separate"/>
      </w:r>
      <w:r>
        <w:t>2</w:t>
      </w:r>
      <w:r>
        <w:fldChar w:fldCharType="end"/>
      </w:r>
    </w:p>
    <w:p>
      <w:pPr>
        <w:pStyle w:val="TOC8"/>
        <w:rPr>
          <w:sz w:val="24"/>
          <w:szCs w:val="24"/>
        </w:rPr>
      </w:pPr>
      <w:r>
        <w:rPr>
          <w:szCs w:val="24"/>
        </w:rPr>
        <w:t>4A.</w:t>
      </w:r>
      <w:r>
        <w:rPr>
          <w:szCs w:val="24"/>
        </w:rPr>
        <w:tab/>
        <w:t>Meeting, or part of meeting, may be closed to public — s. 5.23(2)(h)</w:t>
      </w:r>
      <w:r>
        <w:tab/>
      </w:r>
      <w:r>
        <w:fldChar w:fldCharType="begin"/>
      </w:r>
      <w:r>
        <w:instrText xml:space="preserve"> PAGEREF _Toc180402139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Question time for the public at certain meetings — s. 5.24(1)(b)</w:t>
      </w:r>
      <w:r>
        <w:tab/>
      </w:r>
      <w:r>
        <w:fldChar w:fldCharType="begin"/>
      </w:r>
      <w:r>
        <w:instrText xml:space="preserve"> PAGEREF _Toc180402140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Minimum question time for the public — s. 5.24(2)</w:t>
      </w:r>
      <w:r>
        <w:tab/>
      </w:r>
      <w:r>
        <w:fldChar w:fldCharType="begin"/>
      </w:r>
      <w:r>
        <w:instrText xml:space="preserve"> PAGEREF _Toc180402141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Procedures for question time for the public — s. 5.24(2)</w:t>
      </w:r>
      <w:r>
        <w:tab/>
      </w:r>
      <w:r>
        <w:fldChar w:fldCharType="begin"/>
      </w:r>
      <w:r>
        <w:instrText xml:space="preserve"> PAGEREF _Toc180402142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Procedure where no quorum at council or committee meetings — s. </w:t>
      </w:r>
      <w:r>
        <w:rPr>
          <w:szCs w:val="24"/>
        </w:rPr>
        <w:t>5</w:t>
      </w:r>
      <w:r>
        <w:rPr>
          <w:snapToGrid w:val="0"/>
          <w:szCs w:val="24"/>
        </w:rPr>
        <w:t>.25(1)(c)</w:t>
      </w:r>
      <w:r>
        <w:tab/>
      </w:r>
      <w:r>
        <w:fldChar w:fldCharType="begin"/>
      </w:r>
      <w:r>
        <w:instrText xml:space="preserve"> PAGEREF _Toc180402143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Voting at council or committee meetings — s. 5.25(1)(d)</w:t>
      </w:r>
      <w:r>
        <w:tab/>
      </w:r>
      <w:r>
        <w:fldChar w:fldCharType="begin"/>
      </w:r>
      <w:r>
        <w:instrText xml:space="preserve"> PAGEREF _Toc180402144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Revoking or changing decisions made at council or committee meetings — s. </w:t>
      </w:r>
      <w:r>
        <w:rPr>
          <w:szCs w:val="24"/>
        </w:rPr>
        <w:t>5</w:t>
      </w:r>
      <w:r>
        <w:rPr>
          <w:snapToGrid w:val="0"/>
          <w:szCs w:val="24"/>
        </w:rPr>
        <w:t>.25(1)(e)</w:t>
      </w:r>
      <w:r>
        <w:tab/>
      </w:r>
      <w:r>
        <w:fldChar w:fldCharType="begin"/>
      </w:r>
      <w:r>
        <w:instrText xml:space="preserve"> PAGEREF _Toc180402145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Content of minutes of council or committee meetings — s. </w:t>
      </w:r>
      <w:r>
        <w:rPr>
          <w:szCs w:val="24"/>
        </w:rPr>
        <w:t>5</w:t>
      </w:r>
      <w:r>
        <w:rPr>
          <w:snapToGrid w:val="0"/>
          <w:szCs w:val="24"/>
        </w:rPr>
        <w:t>.25(1)(f)</w:t>
      </w:r>
      <w:r>
        <w:tab/>
      </w:r>
      <w:r>
        <w:fldChar w:fldCharType="begin"/>
      </w:r>
      <w:r>
        <w:instrText xml:space="preserve"> PAGEREF _Toc180402146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Public notice of council or committee meetings — s. 5.25(1)(g)</w:t>
      </w:r>
      <w:r>
        <w:tab/>
      </w:r>
      <w:r>
        <w:fldChar w:fldCharType="begin"/>
      </w:r>
      <w:r>
        <w:instrText xml:space="preserve"> PAGEREF _Toc180402147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 xml:space="preserve">Public inspection of unconfirmed minutes of council or committee meetings — s. </w:t>
      </w:r>
      <w:r>
        <w:rPr>
          <w:szCs w:val="24"/>
        </w:rPr>
        <w:t>5</w:t>
      </w:r>
      <w:r>
        <w:rPr>
          <w:snapToGrid w:val="0"/>
          <w:szCs w:val="24"/>
        </w:rPr>
        <w:t>.25(1)(i)</w:t>
      </w:r>
      <w:r>
        <w:tab/>
      </w:r>
      <w:r>
        <w:fldChar w:fldCharType="begin"/>
      </w:r>
      <w:r>
        <w:instrText xml:space="preserve"> PAGEREF _Toc180402148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 xml:space="preserve">Public inspection of certain documents relating to council or committee meetings — s. </w:t>
      </w:r>
      <w:r>
        <w:rPr>
          <w:szCs w:val="24"/>
        </w:rPr>
        <w:t>5</w:t>
      </w:r>
      <w:r>
        <w:rPr>
          <w:snapToGrid w:val="0"/>
          <w:szCs w:val="24"/>
        </w:rPr>
        <w:t>.25(1)(j)</w:t>
      </w:r>
      <w:r>
        <w:tab/>
      </w:r>
      <w:r>
        <w:fldChar w:fldCharType="begin"/>
      </w:r>
      <w:r>
        <w:instrText xml:space="preserve"> PAGEREF _Toc180402149 \h </w:instrText>
      </w:r>
      <w:r>
        <w:fldChar w:fldCharType="separate"/>
      </w:r>
      <w:r>
        <w:t>7</w:t>
      </w:r>
      <w:r>
        <w:fldChar w:fldCharType="end"/>
      </w:r>
    </w:p>
    <w:p>
      <w:pPr>
        <w:pStyle w:val="TOC8"/>
        <w:rPr>
          <w:sz w:val="24"/>
          <w:szCs w:val="24"/>
        </w:rPr>
      </w:pPr>
      <w:r>
        <w:rPr>
          <w:szCs w:val="24"/>
        </w:rPr>
        <w:t>14A.</w:t>
      </w:r>
      <w:r>
        <w:rPr>
          <w:szCs w:val="24"/>
        </w:rPr>
        <w:tab/>
        <w:t>Attendance at meetings by means of instantaneous communication — s. 5.25(1)(ba)</w:t>
      </w:r>
      <w:r>
        <w:tab/>
      </w:r>
      <w:r>
        <w:fldChar w:fldCharType="begin"/>
      </w:r>
      <w:r>
        <w:instrText xml:space="preserve"> PAGEREF _Toc180402150 \h </w:instrText>
      </w:r>
      <w:r>
        <w:fldChar w:fldCharType="separate"/>
      </w:r>
      <w:r>
        <w:t>8</w:t>
      </w:r>
      <w:r>
        <w:fldChar w:fldCharType="end"/>
      </w:r>
    </w:p>
    <w:p>
      <w:pPr>
        <w:pStyle w:val="TOC8"/>
        <w:rPr>
          <w:sz w:val="24"/>
          <w:szCs w:val="24"/>
        </w:rPr>
      </w:pPr>
      <w:r>
        <w:rPr>
          <w:szCs w:val="24"/>
        </w:rPr>
        <w:t>14B.</w:t>
      </w:r>
      <w:r>
        <w:rPr>
          <w:szCs w:val="24"/>
        </w:rPr>
        <w:tab/>
        <w:t>Attendance at meetings by means of instantaneous communication after natural emergency — s. 5.25(1)(ba)</w:t>
      </w:r>
      <w:r>
        <w:tab/>
      </w:r>
      <w:r>
        <w:fldChar w:fldCharType="begin"/>
      </w:r>
      <w:r>
        <w:instrText xml:space="preserve"> PAGEREF _Toc180402151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Matters for discussion at general electors’ meetings — s. </w:t>
      </w:r>
      <w:r>
        <w:rPr>
          <w:szCs w:val="24"/>
        </w:rPr>
        <w:t>5</w:t>
      </w:r>
      <w:r>
        <w:rPr>
          <w:snapToGrid w:val="0"/>
          <w:szCs w:val="24"/>
        </w:rPr>
        <w:t>.27(3)</w:t>
      </w:r>
      <w:r>
        <w:tab/>
      </w:r>
      <w:r>
        <w:fldChar w:fldCharType="begin"/>
      </w:r>
      <w:r>
        <w:instrText xml:space="preserve"> PAGEREF _Toc180402152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Requests for electors’ special meetings — s. 5.28(2)</w:t>
      </w:r>
      <w:r>
        <w:tab/>
      </w:r>
      <w:r>
        <w:fldChar w:fldCharType="begin"/>
      </w:r>
      <w:r>
        <w:instrText xml:space="preserve"> PAGEREF _Toc180402153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Voting at electors’ meetings — s. 5.31</w:t>
      </w:r>
      <w:r>
        <w:tab/>
      </w:r>
      <w:r>
        <w:fldChar w:fldCharType="begin"/>
      </w:r>
      <w:r>
        <w:instrText xml:space="preserve"> PAGEREF _Toc180402154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Procedures at electors’ meetings — s. 5.31</w:t>
      </w:r>
      <w:r>
        <w:tab/>
      </w:r>
      <w:r>
        <w:fldChar w:fldCharType="begin"/>
      </w:r>
      <w:r>
        <w:instrText xml:space="preserve"> PAGEREF _Toc180402155 \h </w:instrText>
      </w:r>
      <w:r>
        <w:fldChar w:fldCharType="separate"/>
      </w:r>
      <w:r>
        <w:t>11</w:t>
      </w:r>
      <w:r>
        <w:fldChar w:fldCharType="end"/>
      </w:r>
    </w:p>
    <w:p>
      <w:pPr>
        <w:pStyle w:val="TOC8"/>
        <w:rPr>
          <w:sz w:val="24"/>
          <w:szCs w:val="24"/>
        </w:rPr>
      </w:pPr>
      <w:r>
        <w:rPr>
          <w:szCs w:val="24"/>
        </w:rPr>
        <w:t>18A.</w:t>
      </w:r>
      <w:r>
        <w:rPr>
          <w:szCs w:val="24"/>
        </w:rPr>
        <w:tab/>
        <w:t>Advertisement for position of CEO or senior employee — s. 5.36(4) and 5.37(3)</w:t>
      </w:r>
      <w:r>
        <w:tab/>
      </w:r>
      <w:r>
        <w:fldChar w:fldCharType="begin"/>
      </w:r>
      <w:r>
        <w:instrText xml:space="preserve"> PAGEREF _Toc180402156 \h </w:instrText>
      </w:r>
      <w:r>
        <w:fldChar w:fldCharType="separate"/>
      </w:r>
      <w:r>
        <w:t>11</w:t>
      </w:r>
      <w:r>
        <w:fldChar w:fldCharType="end"/>
      </w:r>
    </w:p>
    <w:p>
      <w:pPr>
        <w:pStyle w:val="TOC8"/>
        <w:rPr>
          <w:sz w:val="24"/>
          <w:szCs w:val="24"/>
        </w:rPr>
      </w:pPr>
      <w:r>
        <w:rPr>
          <w:szCs w:val="24"/>
        </w:rPr>
        <w:t>18B.</w:t>
      </w:r>
      <w:r>
        <w:rPr>
          <w:szCs w:val="24"/>
        </w:rPr>
        <w:tab/>
        <w:t>Matters to be included in contracts for CEO’s and senior employees — s. 5.39(3)(c)</w:t>
      </w:r>
      <w:r>
        <w:tab/>
      </w:r>
      <w:r>
        <w:fldChar w:fldCharType="begin"/>
      </w:r>
      <w:r>
        <w:instrText xml:space="preserve"> PAGEREF _Toc180402157 \h </w:instrText>
      </w:r>
      <w:r>
        <w:fldChar w:fldCharType="separate"/>
      </w:r>
      <w:r>
        <w:t>12</w:t>
      </w:r>
      <w:r>
        <w:fldChar w:fldCharType="end"/>
      </w:r>
    </w:p>
    <w:p>
      <w:pPr>
        <w:pStyle w:val="TOC8"/>
        <w:rPr>
          <w:sz w:val="24"/>
          <w:szCs w:val="24"/>
        </w:rPr>
      </w:pPr>
      <w:r>
        <w:rPr>
          <w:szCs w:val="24"/>
        </w:rPr>
        <w:t>18C.</w:t>
      </w:r>
      <w:r>
        <w:rPr>
          <w:szCs w:val="24"/>
        </w:rPr>
        <w:tab/>
        <w:t>Selection and appointment process for CEO’s</w:t>
      </w:r>
      <w:r>
        <w:tab/>
      </w:r>
      <w:r>
        <w:fldChar w:fldCharType="begin"/>
      </w:r>
      <w:r>
        <w:instrText xml:space="preserve"> PAGEREF _Toc180402158 \h </w:instrText>
      </w:r>
      <w:r>
        <w:fldChar w:fldCharType="separate"/>
      </w:r>
      <w:r>
        <w:t>12</w:t>
      </w:r>
      <w:r>
        <w:fldChar w:fldCharType="end"/>
      </w:r>
    </w:p>
    <w:p>
      <w:pPr>
        <w:pStyle w:val="TOC8"/>
        <w:rPr>
          <w:sz w:val="24"/>
          <w:szCs w:val="24"/>
        </w:rPr>
      </w:pPr>
      <w:r>
        <w:rPr>
          <w:szCs w:val="24"/>
        </w:rPr>
        <w:t>18D.</w:t>
      </w:r>
      <w:r>
        <w:rPr>
          <w:szCs w:val="24"/>
        </w:rPr>
        <w:tab/>
        <w:t>Local government to consider performance review on CEO</w:t>
      </w:r>
      <w:r>
        <w:tab/>
      </w:r>
      <w:r>
        <w:fldChar w:fldCharType="begin"/>
      </w:r>
      <w:r>
        <w:instrText xml:space="preserve"> PAGEREF _Toc180402159 \h </w:instrText>
      </w:r>
      <w:r>
        <w:fldChar w:fldCharType="separate"/>
      </w:r>
      <w:r>
        <w:t>12</w:t>
      </w:r>
      <w:r>
        <w:fldChar w:fldCharType="end"/>
      </w:r>
    </w:p>
    <w:p>
      <w:pPr>
        <w:pStyle w:val="TOC8"/>
        <w:rPr>
          <w:sz w:val="24"/>
          <w:szCs w:val="24"/>
        </w:rPr>
      </w:pPr>
      <w:r>
        <w:rPr>
          <w:szCs w:val="24"/>
        </w:rPr>
        <w:t>18E.</w:t>
      </w:r>
      <w:r>
        <w:rPr>
          <w:szCs w:val="24"/>
        </w:rPr>
        <w:tab/>
        <w:t>Offence to give false information in application for employment with local government</w:t>
      </w:r>
      <w:r>
        <w:tab/>
      </w:r>
      <w:r>
        <w:fldChar w:fldCharType="begin"/>
      </w:r>
      <w:r>
        <w:instrText xml:space="preserve"> PAGEREF _Toc180402160 \h </w:instrText>
      </w:r>
      <w:r>
        <w:fldChar w:fldCharType="separate"/>
      </w:r>
      <w:r>
        <w:t>13</w:t>
      </w:r>
      <w:r>
        <w:fldChar w:fldCharType="end"/>
      </w:r>
    </w:p>
    <w:p>
      <w:pPr>
        <w:pStyle w:val="TOC8"/>
        <w:rPr>
          <w:sz w:val="24"/>
          <w:szCs w:val="24"/>
        </w:rPr>
      </w:pPr>
      <w:r>
        <w:rPr>
          <w:szCs w:val="24"/>
        </w:rPr>
        <w:t>18F.</w:t>
      </w:r>
      <w:r>
        <w:rPr>
          <w:szCs w:val="24"/>
        </w:rPr>
        <w:tab/>
        <w:t>Remuneration and benefits of CEO to be as advertised</w:t>
      </w:r>
      <w:r>
        <w:tab/>
      </w:r>
      <w:r>
        <w:fldChar w:fldCharType="begin"/>
      </w:r>
      <w:r>
        <w:instrText xml:space="preserve"> PAGEREF _Toc180402161 \h </w:instrText>
      </w:r>
      <w:r>
        <w:fldChar w:fldCharType="separate"/>
      </w:r>
      <w:r>
        <w:t>13</w:t>
      </w:r>
      <w:r>
        <w:fldChar w:fldCharType="end"/>
      </w:r>
    </w:p>
    <w:p>
      <w:pPr>
        <w:pStyle w:val="TOC8"/>
        <w:rPr>
          <w:sz w:val="24"/>
          <w:szCs w:val="24"/>
        </w:rPr>
      </w:pPr>
      <w:r>
        <w:rPr>
          <w:szCs w:val="24"/>
        </w:rPr>
        <w:t>18G.</w:t>
      </w:r>
      <w:r>
        <w:rPr>
          <w:szCs w:val="24"/>
        </w:rPr>
        <w:tab/>
        <w:t>Limits on delegations to CEO’s — s. 5.43</w:t>
      </w:r>
      <w:r>
        <w:tab/>
      </w:r>
      <w:r>
        <w:fldChar w:fldCharType="begin"/>
      </w:r>
      <w:r>
        <w:instrText xml:space="preserve"> PAGEREF _Toc180402162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Records to be kept by delegates — s. 5.46(3)</w:t>
      </w:r>
      <w:r>
        <w:tab/>
      </w:r>
      <w:r>
        <w:fldChar w:fldCharType="begin"/>
      </w:r>
      <w:r>
        <w:instrText xml:space="preserve"> PAGEREF _Toc180402163 \h </w:instrText>
      </w:r>
      <w:r>
        <w:fldChar w:fldCharType="separate"/>
      </w:r>
      <w:r>
        <w:t>14</w:t>
      </w:r>
      <w:r>
        <w:fldChar w:fldCharType="end"/>
      </w:r>
    </w:p>
    <w:p>
      <w:pPr>
        <w:pStyle w:val="TOC8"/>
        <w:rPr>
          <w:sz w:val="24"/>
          <w:szCs w:val="24"/>
        </w:rPr>
      </w:pPr>
      <w:r>
        <w:rPr>
          <w:szCs w:val="24"/>
        </w:rPr>
        <w:t>19A.</w:t>
      </w:r>
      <w:r>
        <w:rPr>
          <w:szCs w:val="24"/>
        </w:rPr>
        <w:tab/>
        <w:t>Payments to employee in addition to contract or award — s. 5.50(3)</w:t>
      </w:r>
      <w:r>
        <w:tab/>
      </w:r>
      <w:r>
        <w:fldChar w:fldCharType="begin"/>
      </w:r>
      <w:r>
        <w:instrText xml:space="preserve"> PAGEREF _Toc180402164 \h </w:instrText>
      </w:r>
      <w:r>
        <w:fldChar w:fldCharType="separate"/>
      </w:r>
      <w:r>
        <w:t>14</w:t>
      </w:r>
      <w:r>
        <w:fldChar w:fldCharType="end"/>
      </w:r>
    </w:p>
    <w:p>
      <w:pPr>
        <w:pStyle w:val="TOC8"/>
        <w:rPr>
          <w:sz w:val="24"/>
          <w:szCs w:val="24"/>
        </w:rPr>
      </w:pPr>
      <w:r>
        <w:rPr>
          <w:szCs w:val="24"/>
        </w:rPr>
        <w:t>19B.</w:t>
      </w:r>
      <w:r>
        <w:rPr>
          <w:szCs w:val="24"/>
        </w:rPr>
        <w:tab/>
        <w:t>Annual report to contain information on payments to employees — s. 5.53(2)(g)</w:t>
      </w:r>
      <w:r>
        <w:tab/>
      </w:r>
      <w:r>
        <w:fldChar w:fldCharType="begin"/>
      </w:r>
      <w:r>
        <w:instrText xml:space="preserve"> PAGEREF _Toc180402165 \h </w:instrText>
      </w:r>
      <w:r>
        <w:fldChar w:fldCharType="separate"/>
      </w:r>
      <w:r>
        <w:t>15</w:t>
      </w:r>
      <w:r>
        <w:fldChar w:fldCharType="end"/>
      </w:r>
    </w:p>
    <w:p>
      <w:pPr>
        <w:pStyle w:val="TOC8"/>
        <w:rPr>
          <w:sz w:val="24"/>
          <w:szCs w:val="24"/>
        </w:rPr>
      </w:pPr>
      <w:r>
        <w:rPr>
          <w:szCs w:val="24"/>
        </w:rPr>
        <w:t>19C.</w:t>
      </w:r>
      <w:r>
        <w:rPr>
          <w:szCs w:val="24"/>
        </w:rPr>
        <w:tab/>
        <w:t>Planning for the future — s. 5.56</w:t>
      </w:r>
      <w:r>
        <w:tab/>
      </w:r>
      <w:r>
        <w:fldChar w:fldCharType="begin"/>
      </w:r>
      <w:r>
        <w:instrText xml:space="preserve"> PAGEREF _Toc180402166 \h </w:instrText>
      </w:r>
      <w:r>
        <w:fldChar w:fldCharType="separate"/>
      </w:r>
      <w:r>
        <w:t>15</w:t>
      </w:r>
      <w:r>
        <w:fldChar w:fldCharType="end"/>
      </w:r>
    </w:p>
    <w:p>
      <w:pPr>
        <w:pStyle w:val="TOC8"/>
        <w:rPr>
          <w:sz w:val="24"/>
          <w:szCs w:val="24"/>
        </w:rPr>
      </w:pPr>
      <w:r>
        <w:rPr>
          <w:szCs w:val="24"/>
        </w:rPr>
        <w:t>19D.</w:t>
      </w:r>
      <w:r>
        <w:rPr>
          <w:szCs w:val="24"/>
        </w:rPr>
        <w:tab/>
        <w:t>Notice of plan to be given</w:t>
      </w:r>
      <w:r>
        <w:tab/>
      </w:r>
      <w:r>
        <w:fldChar w:fldCharType="begin"/>
      </w:r>
      <w:r>
        <w:instrText xml:space="preserve"> PAGEREF _Toc180402167 \h </w:instrText>
      </w:r>
      <w:r>
        <w:fldChar w:fldCharType="separate"/>
      </w:r>
      <w:r>
        <w:t>16</w:t>
      </w:r>
      <w:r>
        <w:fldChar w:fldCharType="end"/>
      </w:r>
    </w:p>
    <w:p>
      <w:pPr>
        <w:pStyle w:val="TOC8"/>
        <w:rPr>
          <w:sz w:val="24"/>
          <w:szCs w:val="24"/>
        </w:rPr>
      </w:pPr>
      <w:r>
        <w:rPr>
          <w:szCs w:val="24"/>
        </w:rPr>
        <w:t>20.</w:t>
      </w:r>
      <w:r>
        <w:rPr>
          <w:szCs w:val="24"/>
        </w:rPr>
        <w:tab/>
        <w:t>Closely associated persons — s. 5.62</w:t>
      </w:r>
      <w:r>
        <w:tab/>
      </w:r>
      <w:r>
        <w:fldChar w:fldCharType="begin"/>
      </w:r>
      <w:r>
        <w:instrText xml:space="preserve"> PAGEREF _Toc180402168 \h </w:instrText>
      </w:r>
      <w:r>
        <w:fldChar w:fldCharType="separate"/>
      </w:r>
      <w:r>
        <w:t>17</w:t>
      </w:r>
      <w:r>
        <w:fldChar w:fldCharType="end"/>
      </w:r>
    </w:p>
    <w:p>
      <w:pPr>
        <w:pStyle w:val="TOC8"/>
        <w:rPr>
          <w:sz w:val="24"/>
          <w:szCs w:val="24"/>
        </w:rPr>
      </w:pPr>
      <w:r>
        <w:rPr>
          <w:szCs w:val="24"/>
        </w:rPr>
        <w:t>21.</w:t>
      </w:r>
      <w:r>
        <w:rPr>
          <w:szCs w:val="24"/>
        </w:rPr>
        <w:tab/>
        <w:t>Interests that need not be disclosed — s. 5.63(1)(h)</w:t>
      </w:r>
      <w:r>
        <w:tab/>
      </w:r>
      <w:r>
        <w:fldChar w:fldCharType="begin"/>
      </w:r>
      <w:r>
        <w:instrText xml:space="preserve"> PAGEREF _Toc180402169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Form for primary returns — s. 5.75(1) and (2)</w:t>
      </w:r>
      <w:r>
        <w:tab/>
      </w:r>
      <w:r>
        <w:fldChar w:fldCharType="begin"/>
      </w:r>
      <w:r>
        <w:instrText xml:space="preserve"> PAGEREF _Toc180402170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Form for annual returns — s. 5.76(1) and (2)</w:t>
      </w:r>
      <w:r>
        <w:tab/>
      </w:r>
      <w:r>
        <w:fldChar w:fldCharType="begin"/>
      </w:r>
      <w:r>
        <w:instrText xml:space="preserve"> PAGEREF _Toc180402171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 xml:space="preserve">Amount of income up to which disclosure of the income’s source is not required — s. </w:t>
      </w:r>
      <w:r>
        <w:rPr>
          <w:szCs w:val="24"/>
        </w:rPr>
        <w:t>5</w:t>
      </w:r>
      <w:r>
        <w:rPr>
          <w:snapToGrid w:val="0"/>
          <w:szCs w:val="24"/>
        </w:rPr>
        <w:t>.80(3)</w:t>
      </w:r>
      <w:r>
        <w:tab/>
      </w:r>
      <w:r>
        <w:fldChar w:fldCharType="begin"/>
      </w:r>
      <w:r>
        <w:instrText xml:space="preserve"> PAGEREF _Toc180402172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 xml:space="preserve">Amount of gift up to which disclosure of the gift is not required — s. </w:t>
      </w:r>
      <w:r>
        <w:rPr>
          <w:szCs w:val="24"/>
        </w:rPr>
        <w:t>5</w:t>
      </w:r>
      <w:r>
        <w:rPr>
          <w:snapToGrid w:val="0"/>
          <w:szCs w:val="24"/>
        </w:rPr>
        <w:t>.82(2)(a)</w:t>
      </w:r>
      <w:r>
        <w:tab/>
      </w:r>
      <w:r>
        <w:fldChar w:fldCharType="begin"/>
      </w:r>
      <w:r>
        <w:instrText xml:space="preserve"> PAGEREF _Toc180402173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Amount of contribution to travel up to which disclosure of the contribution is not required — s. </w:t>
      </w:r>
      <w:r>
        <w:rPr>
          <w:szCs w:val="24"/>
        </w:rPr>
        <w:t>5</w:t>
      </w:r>
      <w:r>
        <w:rPr>
          <w:snapToGrid w:val="0"/>
          <w:szCs w:val="24"/>
        </w:rPr>
        <w:t>.83(2)(d)</w:t>
      </w:r>
      <w:r>
        <w:tab/>
      </w:r>
      <w:r>
        <w:fldChar w:fldCharType="begin"/>
      </w:r>
      <w:r>
        <w:instrText xml:space="preserve"> PAGEREF _Toc180402174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Amount of debt up to which disclosure of the liability to pay the debt is not required — s. </w:t>
      </w:r>
      <w:r>
        <w:rPr>
          <w:szCs w:val="24"/>
        </w:rPr>
        <w:t>5</w:t>
      </w:r>
      <w:r>
        <w:rPr>
          <w:snapToGrid w:val="0"/>
          <w:szCs w:val="24"/>
        </w:rPr>
        <w:t>.85(2)(a)</w:t>
      </w:r>
      <w:r>
        <w:tab/>
      </w:r>
      <w:r>
        <w:fldChar w:fldCharType="begin"/>
      </w:r>
      <w:r>
        <w:instrText xml:space="preserve"> PAGEREF _Toc180402175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Register of financial interests — s. 5.88(2)</w:t>
      </w:r>
      <w:r>
        <w:tab/>
      </w:r>
      <w:r>
        <w:fldChar w:fldCharType="begin"/>
      </w:r>
      <w:r>
        <w:instrText xml:space="preserve"> PAGEREF _Toc180402176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Information to be available for public inspection — s. 5.94</w:t>
      </w:r>
      <w:r>
        <w:tab/>
      </w:r>
      <w:r>
        <w:fldChar w:fldCharType="begin"/>
      </w:r>
      <w:r>
        <w:instrText xml:space="preserve"> PAGEREF _Toc180402177 \h </w:instrText>
      </w:r>
      <w:r>
        <w:fldChar w:fldCharType="separate"/>
      </w:r>
      <w:r>
        <w:t>20</w:t>
      </w:r>
      <w:r>
        <w:fldChar w:fldCharType="end"/>
      </w:r>
    </w:p>
    <w:p>
      <w:pPr>
        <w:pStyle w:val="TOC8"/>
        <w:rPr>
          <w:sz w:val="24"/>
          <w:szCs w:val="24"/>
        </w:rPr>
      </w:pPr>
      <w:r>
        <w:rPr>
          <w:szCs w:val="24"/>
        </w:rPr>
        <w:t>29A.</w:t>
      </w:r>
      <w:r>
        <w:rPr>
          <w:szCs w:val="24"/>
        </w:rPr>
        <w:tab/>
        <w:t>Limits on right to inspect local government information — s. 5.95</w:t>
      </w:r>
      <w:r>
        <w:tab/>
      </w:r>
      <w:r>
        <w:fldChar w:fldCharType="begin"/>
      </w:r>
      <w:r>
        <w:instrText xml:space="preserve"> PAGEREF _Toc180402178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Meeting attendance fees — s. 5.98(1)</w:t>
      </w:r>
      <w:r>
        <w:tab/>
      </w:r>
      <w:r>
        <w:fldChar w:fldCharType="begin"/>
      </w:r>
      <w:r>
        <w:instrText xml:space="preserve"> PAGEREF _Toc180402179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Expenses that are to be reimbursed — s. 5.98(2)(a) and (3)</w:t>
      </w:r>
      <w:r>
        <w:tab/>
      </w:r>
      <w:r>
        <w:fldChar w:fldCharType="begin"/>
      </w:r>
      <w:r>
        <w:instrText xml:space="preserve"> PAGEREF _Toc180402180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Expenses that may be approved for reimbursement —s. </w:t>
      </w:r>
      <w:r>
        <w:rPr>
          <w:szCs w:val="24"/>
        </w:rPr>
        <w:t>5</w:t>
      </w:r>
      <w:r>
        <w:rPr>
          <w:snapToGrid w:val="0"/>
          <w:szCs w:val="24"/>
        </w:rPr>
        <w:t>.98(2)(b) and (3)</w:t>
      </w:r>
      <w:r>
        <w:tab/>
      </w:r>
      <w:r>
        <w:fldChar w:fldCharType="begin"/>
      </w:r>
      <w:r>
        <w:instrText xml:space="preserve"> PAGEREF _Toc180402181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 xml:space="preserve">Annual local government allowance for mayors or presidents — s. </w:t>
      </w:r>
      <w:r>
        <w:rPr>
          <w:szCs w:val="24"/>
        </w:rPr>
        <w:t>5</w:t>
      </w:r>
      <w:r>
        <w:rPr>
          <w:snapToGrid w:val="0"/>
          <w:szCs w:val="24"/>
        </w:rPr>
        <w:t>.98(5)</w:t>
      </w:r>
      <w:r>
        <w:tab/>
      </w:r>
      <w:r>
        <w:fldChar w:fldCharType="begin"/>
      </w:r>
      <w:r>
        <w:instrText xml:space="preserve"> PAGEREF _Toc180402182 \h </w:instrText>
      </w:r>
      <w:r>
        <w:fldChar w:fldCharType="separate"/>
      </w:r>
      <w:r>
        <w:t>26</w:t>
      </w:r>
      <w:r>
        <w:fldChar w:fldCharType="end"/>
      </w:r>
    </w:p>
    <w:p>
      <w:pPr>
        <w:pStyle w:val="TOC8"/>
        <w:rPr>
          <w:sz w:val="24"/>
          <w:szCs w:val="24"/>
        </w:rPr>
      </w:pPr>
      <w:r>
        <w:rPr>
          <w:szCs w:val="24"/>
        </w:rPr>
        <w:t>33A.</w:t>
      </w:r>
      <w:r>
        <w:rPr>
          <w:szCs w:val="24"/>
        </w:rPr>
        <w:tab/>
        <w:t>Annual local government allowance for deputies — s. 5.98A</w:t>
      </w:r>
      <w:r>
        <w:tab/>
      </w:r>
      <w:r>
        <w:fldChar w:fldCharType="begin"/>
      </w:r>
      <w:r>
        <w:instrText xml:space="preserve"> PAGEREF _Toc180402183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Annual attendance fees — s. 5.99</w:t>
      </w:r>
      <w:r>
        <w:tab/>
      </w:r>
      <w:r>
        <w:fldChar w:fldCharType="begin"/>
      </w:r>
      <w:r>
        <w:instrText xml:space="preserve"> PAGEREF _Toc180402184 \h </w:instrText>
      </w:r>
      <w:r>
        <w:fldChar w:fldCharType="separate"/>
      </w:r>
      <w:r>
        <w:t>27</w:t>
      </w:r>
      <w:r>
        <w:fldChar w:fldCharType="end"/>
      </w:r>
    </w:p>
    <w:p>
      <w:pPr>
        <w:pStyle w:val="TOC8"/>
        <w:rPr>
          <w:sz w:val="24"/>
          <w:szCs w:val="24"/>
        </w:rPr>
      </w:pPr>
      <w:r>
        <w:rPr>
          <w:szCs w:val="24"/>
        </w:rPr>
        <w:t>34A.</w:t>
      </w:r>
      <w:r>
        <w:rPr>
          <w:szCs w:val="24"/>
        </w:rPr>
        <w:tab/>
        <w:t>Allowances in lieu of reimbursement of telecommunications expenses — s. 5.99A</w:t>
      </w:r>
      <w:r>
        <w:tab/>
      </w:r>
      <w:r>
        <w:fldChar w:fldCharType="begin"/>
      </w:r>
      <w:r>
        <w:instrText xml:space="preserve"> PAGEREF _Toc180402185 \h </w:instrText>
      </w:r>
      <w:r>
        <w:fldChar w:fldCharType="separate"/>
      </w:r>
      <w:r>
        <w:t>28</w:t>
      </w:r>
      <w:r>
        <w:fldChar w:fldCharType="end"/>
      </w:r>
    </w:p>
    <w:p>
      <w:pPr>
        <w:pStyle w:val="TOC8"/>
        <w:rPr>
          <w:sz w:val="24"/>
          <w:szCs w:val="24"/>
        </w:rPr>
      </w:pPr>
      <w:r>
        <w:rPr>
          <w:szCs w:val="24"/>
        </w:rPr>
        <w:t>34AA.</w:t>
      </w:r>
      <w:r>
        <w:rPr>
          <w:szCs w:val="24"/>
        </w:rPr>
        <w:tab/>
        <w:t>Allowances in lieu of reimbursement of information technology expenses — s. 5.99A</w:t>
      </w:r>
      <w:r>
        <w:tab/>
      </w:r>
      <w:r>
        <w:fldChar w:fldCharType="begin"/>
      </w:r>
      <w:r>
        <w:instrText xml:space="preserve"> PAGEREF _Toc180402186 \h </w:instrText>
      </w:r>
      <w:r>
        <w:fldChar w:fldCharType="separate"/>
      </w:r>
      <w:r>
        <w:t>28</w:t>
      </w:r>
      <w:r>
        <w:fldChar w:fldCharType="end"/>
      </w:r>
    </w:p>
    <w:p>
      <w:pPr>
        <w:pStyle w:val="TOC8"/>
        <w:rPr>
          <w:sz w:val="24"/>
          <w:szCs w:val="24"/>
        </w:rPr>
      </w:pPr>
      <w:r>
        <w:rPr>
          <w:szCs w:val="24"/>
        </w:rPr>
        <w:t>34AB.</w:t>
      </w:r>
      <w:r>
        <w:rPr>
          <w:szCs w:val="24"/>
        </w:rPr>
        <w:tab/>
        <w:t>Allowances in lieu of reimbursement of travelling and accommodation expenses — s. 5.99A</w:t>
      </w:r>
      <w:r>
        <w:tab/>
      </w:r>
      <w:r>
        <w:fldChar w:fldCharType="begin"/>
      </w:r>
      <w:r>
        <w:instrText xml:space="preserve"> PAGEREF _Toc180402187 \h </w:instrText>
      </w:r>
      <w:r>
        <w:fldChar w:fldCharType="separate"/>
      </w:r>
      <w:r>
        <w:t>28</w:t>
      </w:r>
      <w:r>
        <w:fldChar w:fldCharType="end"/>
      </w:r>
    </w:p>
    <w:p>
      <w:pPr>
        <w:pStyle w:val="TOC8"/>
        <w:rPr>
          <w:sz w:val="24"/>
          <w:szCs w:val="24"/>
        </w:rPr>
      </w:pPr>
      <w:r>
        <w:rPr>
          <w:szCs w:val="24"/>
        </w:rPr>
        <w:t>34B.</w:t>
      </w:r>
      <w:r>
        <w:rPr>
          <w:szCs w:val="24"/>
        </w:rPr>
        <w:tab/>
        <w:t>Codes of conduct (gifts) — s. 5.103(3)</w:t>
      </w:r>
      <w:r>
        <w:tab/>
      </w:r>
      <w:r>
        <w:fldChar w:fldCharType="begin"/>
      </w:r>
      <w:r>
        <w:instrText xml:space="preserve"> PAGEREF _Toc180402188 \h </w:instrText>
      </w:r>
      <w:r>
        <w:fldChar w:fldCharType="separate"/>
      </w:r>
      <w:r>
        <w:t>29</w:t>
      </w:r>
      <w:r>
        <w:fldChar w:fldCharType="end"/>
      </w:r>
    </w:p>
    <w:p>
      <w:pPr>
        <w:pStyle w:val="TOC8"/>
        <w:rPr>
          <w:sz w:val="24"/>
          <w:szCs w:val="24"/>
        </w:rPr>
      </w:pPr>
      <w:r>
        <w:rPr>
          <w:szCs w:val="24"/>
        </w:rPr>
        <w:t>34C.</w:t>
      </w:r>
      <w:r>
        <w:rPr>
          <w:szCs w:val="24"/>
        </w:rPr>
        <w:tab/>
        <w:t>Codes of conduct (disclosure of interests affecting impartiality) — s. 5.103(3)</w:t>
      </w:r>
      <w:r>
        <w:tab/>
      </w:r>
      <w:r>
        <w:fldChar w:fldCharType="begin"/>
      </w:r>
      <w:r>
        <w:instrText xml:space="preserve"> PAGEREF _Toc180402189 \h </w:instrText>
      </w:r>
      <w:r>
        <w:fldChar w:fldCharType="separate"/>
      </w:r>
      <w:r>
        <w:t>31</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_Toc180402192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2" w:name="_Toc12955287"/>
      <w:bookmarkStart w:id="3" w:name="_Toc12955574"/>
      <w:bookmarkStart w:id="4" w:name="_Toc112152175"/>
      <w:bookmarkStart w:id="5" w:name="_Toc180402135"/>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12955288"/>
      <w:bookmarkStart w:id="7" w:name="_Toc12955575"/>
      <w:bookmarkStart w:id="8" w:name="_Toc112152176"/>
      <w:bookmarkStart w:id="9" w:name="_Toc18040213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12955289"/>
      <w:bookmarkStart w:id="11" w:name="_Toc12955576"/>
      <w:bookmarkStart w:id="12" w:name="_Toc112152177"/>
      <w:bookmarkStart w:id="13" w:name="_Toc18040213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4" w:name="_Toc12955290"/>
      <w:bookmarkStart w:id="15" w:name="_Toc12955577"/>
      <w:bookmarkStart w:id="16" w:name="_Toc112152178"/>
      <w:bookmarkStart w:id="17" w:name="_Toc180402138"/>
      <w:r>
        <w:rPr>
          <w:rStyle w:val="CharSectno"/>
        </w:rPr>
        <w:t>4</w:t>
      </w:r>
      <w:r>
        <w:rPr>
          <w:snapToGrid w:val="0"/>
        </w:rPr>
        <w:t>.</w:t>
      </w:r>
      <w:r>
        <w:rPr>
          <w:snapToGrid w:val="0"/>
        </w:rPr>
        <w:tab/>
        <w:t>Resignation of committee members</w:t>
      </w:r>
      <w:bookmarkEnd w:id="14"/>
      <w:bookmarkEnd w:id="15"/>
      <w:bookmarkEnd w:id="16"/>
      <w:bookmarkEnd w:id="17"/>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8" w:name="_Toc112152179"/>
      <w:bookmarkStart w:id="19" w:name="_Toc180402139"/>
      <w:bookmarkStart w:id="20" w:name="_Toc12955291"/>
      <w:bookmarkStart w:id="21" w:name="_Toc12955578"/>
      <w:r>
        <w:rPr>
          <w:rStyle w:val="CharSectno"/>
        </w:rPr>
        <w:t>4A</w:t>
      </w:r>
      <w:r>
        <w:t>.</w:t>
      </w:r>
      <w:r>
        <w:tab/>
        <w:t>Meeting, or part of meeting, may be closed to public — s. 5.23(2)(h)</w:t>
      </w:r>
      <w:bookmarkEnd w:id="18"/>
      <w:bookmarkEnd w:id="19"/>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2" w:name="_Toc112152180"/>
      <w:bookmarkStart w:id="23" w:name="_Toc180402140"/>
      <w:r>
        <w:rPr>
          <w:rStyle w:val="CharSectno"/>
        </w:rPr>
        <w:t>5</w:t>
      </w:r>
      <w:r>
        <w:rPr>
          <w:snapToGrid w:val="0"/>
        </w:rPr>
        <w:t>.</w:t>
      </w:r>
      <w:r>
        <w:rPr>
          <w:snapToGrid w:val="0"/>
        </w:rPr>
        <w:tab/>
        <w:t>Question time for the public at certain meetings — s. 5.24(1)(b)</w:t>
      </w:r>
      <w:bookmarkEnd w:id="20"/>
      <w:bookmarkEnd w:id="21"/>
      <w:bookmarkEnd w:id="22"/>
      <w:bookmarkEnd w:id="23"/>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4" w:name="_Toc12955292"/>
      <w:bookmarkStart w:id="25" w:name="_Toc12955579"/>
      <w:bookmarkStart w:id="26" w:name="_Toc112152181"/>
      <w:bookmarkStart w:id="27" w:name="_Toc180402141"/>
      <w:r>
        <w:rPr>
          <w:rStyle w:val="CharSectno"/>
        </w:rPr>
        <w:t>6</w:t>
      </w:r>
      <w:r>
        <w:rPr>
          <w:snapToGrid w:val="0"/>
        </w:rPr>
        <w:t>.</w:t>
      </w:r>
      <w:r>
        <w:rPr>
          <w:snapToGrid w:val="0"/>
        </w:rPr>
        <w:tab/>
        <w:t>Minimum question time for the public — s. 5.24(2)</w:t>
      </w:r>
      <w:bookmarkEnd w:id="24"/>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8" w:name="_Toc12955293"/>
      <w:bookmarkStart w:id="29" w:name="_Toc12955580"/>
      <w:bookmarkStart w:id="30" w:name="_Toc112152182"/>
      <w:bookmarkStart w:id="31" w:name="_Toc180402142"/>
      <w:r>
        <w:rPr>
          <w:rStyle w:val="CharSectno"/>
        </w:rPr>
        <w:t>7</w:t>
      </w:r>
      <w:r>
        <w:rPr>
          <w:snapToGrid w:val="0"/>
        </w:rPr>
        <w:t>.</w:t>
      </w:r>
      <w:r>
        <w:rPr>
          <w:snapToGrid w:val="0"/>
        </w:rPr>
        <w:tab/>
        <w:t>Procedures for question time for the public — s. 5.24(2)</w:t>
      </w:r>
      <w:bookmarkEnd w:id="28"/>
      <w:bookmarkEnd w:id="29"/>
      <w:bookmarkEnd w:id="30"/>
      <w:bookmarkEnd w:id="31"/>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2" w:name="_Toc12955294"/>
      <w:bookmarkStart w:id="33" w:name="_Toc12955581"/>
      <w:bookmarkStart w:id="34" w:name="_Toc112152183"/>
      <w:bookmarkStart w:id="35" w:name="_Toc180402143"/>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2"/>
      <w:bookmarkEnd w:id="33"/>
      <w:bookmarkEnd w:id="34"/>
      <w:bookmarkEnd w:id="3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6" w:name="_Toc12955295"/>
      <w:bookmarkStart w:id="37" w:name="_Toc12955582"/>
      <w:bookmarkStart w:id="38" w:name="_Toc112152184"/>
      <w:bookmarkStart w:id="39" w:name="_Toc180402144"/>
      <w:r>
        <w:rPr>
          <w:rStyle w:val="CharSectno"/>
        </w:rPr>
        <w:t>9</w:t>
      </w:r>
      <w:r>
        <w:rPr>
          <w:snapToGrid w:val="0"/>
        </w:rPr>
        <w:t>.</w:t>
      </w:r>
      <w:r>
        <w:rPr>
          <w:snapToGrid w:val="0"/>
        </w:rPr>
        <w:tab/>
        <w:t>Voting at council or committee meetings — s. 5.25(1)(d)</w:t>
      </w:r>
      <w:bookmarkEnd w:id="36"/>
      <w:bookmarkEnd w:id="37"/>
      <w:bookmarkEnd w:id="38"/>
      <w:bookmarkEnd w:id="39"/>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0" w:name="_Toc12955296"/>
      <w:bookmarkStart w:id="41" w:name="_Toc12955583"/>
      <w:bookmarkStart w:id="42" w:name="_Toc112152185"/>
      <w:bookmarkStart w:id="43" w:name="_Toc180402145"/>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40"/>
      <w:bookmarkEnd w:id="41"/>
      <w:bookmarkEnd w:id="42"/>
      <w:bookmarkEnd w:id="4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44" w:name="_Toc12955297"/>
      <w:bookmarkStart w:id="45" w:name="_Toc12955584"/>
      <w:bookmarkStart w:id="46" w:name="_Toc112152186"/>
      <w:bookmarkStart w:id="47" w:name="_Toc180402146"/>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44"/>
      <w:bookmarkEnd w:id="45"/>
      <w:bookmarkEnd w:id="46"/>
      <w:bookmarkEnd w:id="47"/>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48" w:name="_Toc12955298"/>
      <w:bookmarkStart w:id="49" w:name="_Toc12955585"/>
      <w:bookmarkStart w:id="50" w:name="_Toc112152187"/>
      <w:bookmarkStart w:id="51" w:name="_Toc180402147"/>
      <w:r>
        <w:rPr>
          <w:rStyle w:val="CharSectno"/>
        </w:rPr>
        <w:t>12</w:t>
      </w:r>
      <w:r>
        <w:rPr>
          <w:snapToGrid w:val="0"/>
        </w:rPr>
        <w:t>.</w:t>
      </w:r>
      <w:r>
        <w:rPr>
          <w:snapToGrid w:val="0"/>
        </w:rPr>
        <w:tab/>
        <w:t>Public notice of council or committee meetings — s. 5.25(1)(g)</w:t>
      </w:r>
      <w:bookmarkEnd w:id="48"/>
      <w:bookmarkEnd w:id="49"/>
      <w:bookmarkEnd w:id="50"/>
      <w:bookmarkEnd w:id="51"/>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52" w:name="_Toc12955299"/>
      <w:bookmarkStart w:id="53" w:name="_Toc12955586"/>
      <w:bookmarkStart w:id="54" w:name="_Toc112152188"/>
      <w:bookmarkStart w:id="55" w:name="_Toc180402148"/>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52"/>
      <w:bookmarkEnd w:id="53"/>
      <w:bookmarkEnd w:id="54"/>
      <w:bookmarkEnd w:id="55"/>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56" w:name="_Toc12955300"/>
      <w:bookmarkStart w:id="57" w:name="_Toc12955587"/>
      <w:bookmarkStart w:id="58" w:name="_Toc112152189"/>
      <w:bookmarkStart w:id="59" w:name="_Toc180402149"/>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56"/>
      <w:bookmarkEnd w:id="57"/>
      <w:bookmarkEnd w:id="58"/>
      <w:bookmarkEnd w:id="59"/>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60" w:name="_Toc112152190"/>
      <w:bookmarkStart w:id="61" w:name="_Toc180402150"/>
      <w:bookmarkStart w:id="62" w:name="_Toc12955301"/>
      <w:bookmarkStart w:id="63" w:name="_Toc12955588"/>
      <w:r>
        <w:rPr>
          <w:rStyle w:val="CharSectno"/>
        </w:rPr>
        <w:t>14A</w:t>
      </w:r>
      <w:r>
        <w:t>.</w:t>
      </w:r>
      <w:r>
        <w:tab/>
        <w:t>Attendance at meetings by means of instantaneous communication — s. 5.25(1)(ba)</w:t>
      </w:r>
      <w:bookmarkEnd w:id="60"/>
      <w:bookmarkEnd w:id="61"/>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64" w:name="_Toc112152191"/>
      <w:bookmarkStart w:id="65" w:name="_Toc180402151"/>
      <w:r>
        <w:rPr>
          <w:rStyle w:val="CharSectno"/>
        </w:rPr>
        <w:t>14B</w:t>
      </w:r>
      <w:r>
        <w:t>.</w:t>
      </w:r>
      <w:r>
        <w:tab/>
        <w:t>Attendance at meetings by means of instantaneous communication after natural emergency — s. 5.25(1)(ba)</w:t>
      </w:r>
      <w:bookmarkEnd w:id="64"/>
      <w:bookmarkEnd w:id="6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66" w:name="_Toc112152192"/>
      <w:bookmarkStart w:id="67" w:name="_Toc180402152"/>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62"/>
      <w:bookmarkEnd w:id="63"/>
      <w:bookmarkEnd w:id="66"/>
      <w:bookmarkEnd w:id="67"/>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8" w:name="_Toc12955302"/>
      <w:bookmarkStart w:id="69" w:name="_Toc12955589"/>
      <w:bookmarkStart w:id="70" w:name="_Toc112152193"/>
      <w:bookmarkStart w:id="71" w:name="_Toc180402153"/>
      <w:r>
        <w:rPr>
          <w:rStyle w:val="CharSectno"/>
        </w:rPr>
        <w:t>16</w:t>
      </w:r>
      <w:r>
        <w:rPr>
          <w:snapToGrid w:val="0"/>
        </w:rPr>
        <w:t>.</w:t>
      </w:r>
      <w:r>
        <w:rPr>
          <w:snapToGrid w:val="0"/>
        </w:rPr>
        <w:tab/>
        <w:t>Requests for electors’ special meetings — s. 5.28(2)</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72" w:name="_Toc12955303"/>
      <w:bookmarkStart w:id="73" w:name="_Toc12955590"/>
      <w:bookmarkStart w:id="74" w:name="_Toc112152194"/>
      <w:bookmarkStart w:id="75" w:name="_Toc180402154"/>
      <w:r>
        <w:rPr>
          <w:rStyle w:val="CharSectno"/>
        </w:rPr>
        <w:t>17</w:t>
      </w:r>
      <w:r>
        <w:rPr>
          <w:snapToGrid w:val="0"/>
        </w:rPr>
        <w:t>.</w:t>
      </w:r>
      <w:r>
        <w:rPr>
          <w:snapToGrid w:val="0"/>
        </w:rPr>
        <w:tab/>
        <w:t>Voting at electors’ meetings — s. 5.31</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76" w:name="_Toc12955304"/>
      <w:bookmarkStart w:id="77" w:name="_Toc12955591"/>
      <w:bookmarkStart w:id="78" w:name="_Toc112152195"/>
      <w:bookmarkStart w:id="79" w:name="_Toc180402155"/>
      <w:r>
        <w:rPr>
          <w:rStyle w:val="CharSectno"/>
        </w:rPr>
        <w:t>18</w:t>
      </w:r>
      <w:r>
        <w:rPr>
          <w:snapToGrid w:val="0"/>
        </w:rPr>
        <w:t>.</w:t>
      </w:r>
      <w:r>
        <w:rPr>
          <w:snapToGrid w:val="0"/>
        </w:rPr>
        <w:tab/>
        <w:t>Procedures at electors’ meetings — s. 5.31</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80" w:name="_Toc112152196"/>
      <w:bookmarkStart w:id="81" w:name="_Toc180402156"/>
      <w:bookmarkStart w:id="82" w:name="_Toc12955305"/>
      <w:bookmarkStart w:id="83" w:name="_Toc12955592"/>
      <w:r>
        <w:rPr>
          <w:rStyle w:val="CharSectno"/>
        </w:rPr>
        <w:t>18A</w:t>
      </w:r>
      <w:r>
        <w:t>.</w:t>
      </w:r>
      <w:r>
        <w:tab/>
        <w:t>Advertisement for position of CEO or senior employee — s. 5.36(4) and 5.37(3)</w:t>
      </w:r>
      <w:bookmarkEnd w:id="80"/>
      <w:bookmarkEnd w:id="81"/>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p>
    <w:p>
      <w:pPr>
        <w:pStyle w:val="Indenta"/>
      </w:pPr>
      <w:r>
        <w:tab/>
      </w:r>
      <w:r>
        <w:tab/>
        <w:t>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84" w:name="_Toc112152197"/>
      <w:bookmarkStart w:id="85" w:name="_Toc180402157"/>
      <w:r>
        <w:rPr>
          <w:rStyle w:val="CharSectno"/>
        </w:rPr>
        <w:t>18B</w:t>
      </w:r>
      <w:r>
        <w:t>.</w:t>
      </w:r>
      <w:r>
        <w:tab/>
        <w:t>Matters to be included in contracts for CEO’s and senior employees — s. 5.39(3)(c)</w:t>
      </w:r>
      <w:bookmarkEnd w:id="84"/>
      <w:bookmarkEnd w:id="85"/>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86" w:name="_Toc112152198"/>
      <w:bookmarkStart w:id="87" w:name="_Toc180402158"/>
      <w:r>
        <w:rPr>
          <w:rStyle w:val="CharSectno"/>
        </w:rPr>
        <w:t>18C</w:t>
      </w:r>
      <w:r>
        <w:t>.</w:t>
      </w:r>
      <w:r>
        <w:tab/>
        <w:t>Selection and appointment process for CEO’s</w:t>
      </w:r>
      <w:bookmarkEnd w:id="86"/>
      <w:bookmarkEnd w:id="87"/>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88" w:name="_Toc112152199"/>
      <w:bookmarkStart w:id="89" w:name="_Toc180402159"/>
      <w:r>
        <w:rPr>
          <w:rStyle w:val="CharSectno"/>
        </w:rPr>
        <w:t>18D</w:t>
      </w:r>
      <w:r>
        <w:t>.</w:t>
      </w:r>
      <w:r>
        <w:tab/>
        <w:t>Local government to consider performance review on CEO</w:t>
      </w:r>
      <w:bookmarkEnd w:id="88"/>
      <w:bookmarkEnd w:id="89"/>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90" w:name="_Toc112152200"/>
      <w:bookmarkStart w:id="91" w:name="_Toc180402160"/>
      <w:r>
        <w:rPr>
          <w:rStyle w:val="CharSectno"/>
        </w:rPr>
        <w:t>18E</w:t>
      </w:r>
      <w:r>
        <w:t>.</w:t>
      </w:r>
      <w:r>
        <w:tab/>
        <w:t>Offence to give false information in application for employment with local government</w:t>
      </w:r>
      <w:bookmarkEnd w:id="90"/>
      <w:bookmarkEnd w:id="91"/>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92" w:name="_Toc112152201"/>
      <w:bookmarkStart w:id="93" w:name="_Toc180402161"/>
      <w:r>
        <w:rPr>
          <w:rStyle w:val="CharSectno"/>
        </w:rPr>
        <w:t>18F</w:t>
      </w:r>
      <w:r>
        <w:t>.</w:t>
      </w:r>
      <w:r>
        <w:tab/>
        <w:t>Remuneration and benefits of CEO to be as advertised</w:t>
      </w:r>
      <w:bookmarkEnd w:id="92"/>
      <w:bookmarkEnd w:id="93"/>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94" w:name="_Toc112152202"/>
      <w:bookmarkStart w:id="95" w:name="_Toc180402162"/>
      <w:r>
        <w:rPr>
          <w:rStyle w:val="CharSectno"/>
        </w:rPr>
        <w:t>18G</w:t>
      </w:r>
      <w:r>
        <w:t>.</w:t>
      </w:r>
      <w:r>
        <w:tab/>
        <w:t>Limits on delegations to CEO’s — s. 5.43</w:t>
      </w:r>
      <w:bookmarkEnd w:id="94"/>
      <w:bookmarkEnd w:id="95"/>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96" w:name="_Toc112152203"/>
      <w:bookmarkStart w:id="97" w:name="_Toc180402163"/>
      <w:r>
        <w:rPr>
          <w:rStyle w:val="CharSectno"/>
        </w:rPr>
        <w:t>19</w:t>
      </w:r>
      <w:r>
        <w:rPr>
          <w:snapToGrid w:val="0"/>
        </w:rPr>
        <w:t>.</w:t>
      </w:r>
      <w:r>
        <w:rPr>
          <w:snapToGrid w:val="0"/>
        </w:rPr>
        <w:tab/>
        <w:t>Records to be kept by delegates — s. 5.46(3)</w:t>
      </w:r>
      <w:bookmarkEnd w:id="82"/>
      <w:bookmarkEnd w:id="83"/>
      <w:bookmarkEnd w:id="96"/>
      <w:bookmarkEnd w:id="97"/>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98" w:name="_Toc112152204"/>
      <w:bookmarkStart w:id="99" w:name="_Toc180402164"/>
      <w:bookmarkStart w:id="100" w:name="_Toc12955306"/>
      <w:bookmarkStart w:id="101" w:name="_Toc12955593"/>
      <w:r>
        <w:rPr>
          <w:rStyle w:val="CharSectno"/>
        </w:rPr>
        <w:t>19A</w:t>
      </w:r>
      <w:r>
        <w:t>.</w:t>
      </w:r>
      <w:r>
        <w:tab/>
        <w:t>Payments to employee in addition to contract or award — s. 5.50(3)</w:t>
      </w:r>
      <w:bookmarkEnd w:id="98"/>
      <w:bookmarkEnd w:id="99"/>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02" w:name="_Toc112152205"/>
      <w:bookmarkStart w:id="103" w:name="_Toc180402165"/>
      <w:r>
        <w:rPr>
          <w:rStyle w:val="CharSectno"/>
        </w:rPr>
        <w:t>19B</w:t>
      </w:r>
      <w:r>
        <w:t>.</w:t>
      </w:r>
      <w:r>
        <w:tab/>
        <w:t>Annual report to contain information on payments to employees — s. 5.53(2)(g)</w:t>
      </w:r>
      <w:bookmarkEnd w:id="102"/>
      <w:bookmarkEnd w:id="103"/>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04" w:name="_Toc112152206"/>
      <w:bookmarkStart w:id="105" w:name="_Toc180402166"/>
      <w:r>
        <w:rPr>
          <w:rStyle w:val="CharSectno"/>
        </w:rPr>
        <w:t>19C</w:t>
      </w:r>
      <w:r>
        <w:t>.</w:t>
      </w:r>
      <w:r>
        <w:tab/>
        <w:t>Planning for the future — s. 5.56</w:t>
      </w:r>
      <w:bookmarkEnd w:id="104"/>
      <w:bookmarkEnd w:id="105"/>
    </w:p>
    <w:p>
      <w:pPr>
        <w:pStyle w:val="Subsection"/>
      </w:pPr>
      <w:r>
        <w:tab/>
        <w:t>(1)</w:t>
      </w:r>
      <w:r>
        <w:tab/>
        <w:t xml:space="preserve">In this regulation and regulation 19D — </w:t>
      </w:r>
    </w:p>
    <w:p>
      <w:pPr>
        <w:pStyle w:val="Defstart"/>
      </w:pPr>
      <w:r>
        <w:rPr>
          <w:b/>
        </w:rPr>
        <w:tab/>
      </w:r>
      <w:r>
        <w:rPr>
          <w:rStyle w:val="CharDefText"/>
        </w:rPr>
        <w:t>plan for the future</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06" w:name="_Toc112152207"/>
      <w:bookmarkStart w:id="107" w:name="_Toc180402167"/>
      <w:r>
        <w:rPr>
          <w:rStyle w:val="CharSectno"/>
        </w:rPr>
        <w:t>19D</w:t>
      </w:r>
      <w:r>
        <w:t>.</w:t>
      </w:r>
      <w:r>
        <w:tab/>
        <w:t>Notice of plan to be given</w:t>
      </w:r>
      <w:bookmarkEnd w:id="106"/>
      <w:bookmarkEnd w:id="107"/>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08" w:name="_Toc112152208"/>
      <w:bookmarkStart w:id="109" w:name="_Toc180402168"/>
      <w:bookmarkStart w:id="110" w:name="_Toc12955307"/>
      <w:bookmarkStart w:id="111" w:name="_Toc12955594"/>
      <w:bookmarkEnd w:id="100"/>
      <w:bookmarkEnd w:id="101"/>
      <w:r>
        <w:rPr>
          <w:rStyle w:val="CharSectno"/>
        </w:rPr>
        <w:t>20</w:t>
      </w:r>
      <w:r>
        <w:t>.</w:t>
      </w:r>
      <w:r>
        <w:tab/>
        <w:t>Closely associated persons — s. 5.62</w:t>
      </w:r>
      <w:bookmarkEnd w:id="108"/>
      <w:bookmarkEnd w:id="109"/>
    </w:p>
    <w:p>
      <w:pPr>
        <w:pStyle w:val="Subsection"/>
      </w:pPr>
      <w:r>
        <w:tab/>
        <w:t>(1)</w:t>
      </w:r>
      <w:r>
        <w:tab/>
        <w:t xml:space="preserve">In subregulation (2) —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12" w:name="_Toc112152209"/>
      <w:bookmarkStart w:id="113" w:name="_Toc180402169"/>
      <w:r>
        <w:rPr>
          <w:rStyle w:val="CharSectno"/>
        </w:rPr>
        <w:t>21</w:t>
      </w:r>
      <w:r>
        <w:t>.</w:t>
      </w:r>
      <w:r>
        <w:tab/>
        <w:t>Interests that need not be disclosed — s. 5.63(1)(h)</w:t>
      </w:r>
      <w:bookmarkEnd w:id="110"/>
      <w:bookmarkEnd w:id="111"/>
      <w:bookmarkEnd w:id="112"/>
      <w:bookmarkEnd w:id="113"/>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spacing w:before="200"/>
        <w:rPr>
          <w:snapToGrid w:val="0"/>
        </w:rPr>
      </w:pPr>
      <w:bookmarkStart w:id="114" w:name="_Toc12955308"/>
      <w:bookmarkStart w:id="115" w:name="_Toc12955595"/>
      <w:bookmarkStart w:id="116" w:name="_Toc112152210"/>
      <w:bookmarkStart w:id="117" w:name="_Toc180402170"/>
      <w:r>
        <w:rPr>
          <w:rStyle w:val="CharSectno"/>
        </w:rPr>
        <w:t>22</w:t>
      </w:r>
      <w:r>
        <w:rPr>
          <w:snapToGrid w:val="0"/>
        </w:rPr>
        <w:t>.</w:t>
      </w:r>
      <w:r>
        <w:rPr>
          <w:snapToGrid w:val="0"/>
        </w:rPr>
        <w:tab/>
        <w:t>Form for primary returns — s. 5.75(1) and (2)</w:t>
      </w:r>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18" w:name="_Toc12955309"/>
      <w:bookmarkStart w:id="119" w:name="_Toc12955596"/>
      <w:bookmarkStart w:id="120" w:name="_Toc112152211"/>
      <w:bookmarkStart w:id="121" w:name="_Toc180402171"/>
      <w:r>
        <w:rPr>
          <w:rStyle w:val="CharSectno"/>
        </w:rPr>
        <w:t>23</w:t>
      </w:r>
      <w:r>
        <w:rPr>
          <w:snapToGrid w:val="0"/>
        </w:rPr>
        <w:t>.</w:t>
      </w:r>
      <w:r>
        <w:rPr>
          <w:snapToGrid w:val="0"/>
        </w:rPr>
        <w:tab/>
        <w:t>Form for annual returns — s. 5.76(1) and (2)</w:t>
      </w:r>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22" w:name="_Toc12955310"/>
      <w:bookmarkStart w:id="123" w:name="_Toc12955597"/>
      <w:bookmarkStart w:id="124" w:name="_Toc112152212"/>
      <w:bookmarkStart w:id="125" w:name="_Toc180402172"/>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26" w:name="_Toc12955311"/>
      <w:bookmarkStart w:id="127" w:name="_Toc12955598"/>
      <w:bookmarkStart w:id="128" w:name="_Toc112152213"/>
      <w:bookmarkStart w:id="129" w:name="_Toc180402173"/>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30" w:name="_Toc12955312"/>
      <w:bookmarkStart w:id="131" w:name="_Toc12955599"/>
      <w:bookmarkStart w:id="132" w:name="_Toc112152214"/>
      <w:bookmarkStart w:id="133" w:name="_Toc180402174"/>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34" w:name="_Toc12955313"/>
      <w:bookmarkStart w:id="135" w:name="_Toc12955600"/>
      <w:bookmarkStart w:id="136" w:name="_Toc112152215"/>
      <w:bookmarkStart w:id="137" w:name="_Toc180402175"/>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38" w:name="_Toc12955314"/>
      <w:bookmarkStart w:id="139" w:name="_Toc12955601"/>
      <w:bookmarkStart w:id="140" w:name="_Toc112152216"/>
      <w:bookmarkStart w:id="141" w:name="_Toc180402176"/>
      <w:r>
        <w:rPr>
          <w:rStyle w:val="CharSectno"/>
        </w:rPr>
        <w:t>28</w:t>
      </w:r>
      <w:r>
        <w:rPr>
          <w:snapToGrid w:val="0"/>
        </w:rPr>
        <w:t>.</w:t>
      </w:r>
      <w:r>
        <w:rPr>
          <w:snapToGrid w:val="0"/>
        </w:rPr>
        <w:tab/>
        <w:t>Register of financial interests — s. 5.88(2)</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42" w:name="_Toc12955315"/>
      <w:bookmarkStart w:id="143" w:name="_Toc12955602"/>
      <w:bookmarkStart w:id="144" w:name="_Toc112152217"/>
      <w:bookmarkStart w:id="145" w:name="_Toc180402177"/>
      <w:r>
        <w:rPr>
          <w:rStyle w:val="CharSectno"/>
        </w:rPr>
        <w:t>29</w:t>
      </w:r>
      <w:r>
        <w:rPr>
          <w:snapToGrid w:val="0"/>
        </w:rPr>
        <w:t>.</w:t>
      </w:r>
      <w:r>
        <w:rPr>
          <w:snapToGrid w:val="0"/>
        </w:rPr>
        <w:tab/>
        <w:t>Information to be available for public inspection — s. 5.94</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pPr>
      <w:r>
        <w:tab/>
        <w:t>(baa)</w:t>
      </w:r>
      <w:r>
        <w:tab/>
        <w:t xml:space="preserve">the information contained in a register maintained under regulation 12(5) of the </w:t>
      </w:r>
      <w:r>
        <w:rPr>
          <w:i/>
          <w:iCs/>
        </w:rPr>
        <w:t>Local Government (Rules of Conduct) Regulations 2007</w:t>
      </w:r>
      <w:r>
        <w:t>;</w:t>
      </w:r>
    </w:p>
    <w:p>
      <w:pPr>
        <w:pStyle w:val="Indenta"/>
        <w:rPr>
          <w:snapToGrid w:val="0"/>
        </w:rPr>
      </w:pPr>
      <w:r>
        <w:tab/>
        <w:t>(bb)</w:t>
      </w:r>
      <w:r>
        <w:tab/>
        <w:t>the information contained in a register of notifiable gifts referred to in regulation 34B(5);</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46" w:name="_Toc112152218"/>
      <w:bookmarkStart w:id="147" w:name="_Toc180402178"/>
      <w:bookmarkStart w:id="148" w:name="_Toc12955316"/>
      <w:bookmarkStart w:id="149" w:name="_Toc12955603"/>
      <w:r>
        <w:rPr>
          <w:rStyle w:val="CharSectno"/>
        </w:rPr>
        <w:t>29A</w:t>
      </w:r>
      <w:r>
        <w:t>.</w:t>
      </w:r>
      <w:r>
        <w:tab/>
        <w:t>Limits on right to inspect local government information — s. 5.95</w:t>
      </w:r>
      <w:bookmarkEnd w:id="146"/>
      <w:bookmarkEnd w:id="147"/>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150" w:name="_Toc112152219"/>
      <w:bookmarkStart w:id="151" w:name="_Toc180402179"/>
      <w:r>
        <w:rPr>
          <w:rStyle w:val="CharSectno"/>
        </w:rPr>
        <w:t>30</w:t>
      </w:r>
      <w:r>
        <w:rPr>
          <w:snapToGrid w:val="0"/>
        </w:rPr>
        <w:t>.</w:t>
      </w:r>
      <w:r>
        <w:rPr>
          <w:snapToGrid w:val="0"/>
        </w:rPr>
        <w:tab/>
        <w:t>Meeting attendance fees — s. 5.98(1)</w:t>
      </w:r>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152" w:name="_Toc12955317"/>
      <w:bookmarkStart w:id="153" w:name="_Toc12955604"/>
      <w:bookmarkStart w:id="154" w:name="_Toc112152220"/>
      <w:bookmarkStart w:id="155" w:name="_Toc180402180"/>
      <w:r>
        <w:rPr>
          <w:rStyle w:val="CharSectno"/>
        </w:rPr>
        <w:t>31</w:t>
      </w:r>
      <w:r>
        <w:rPr>
          <w:snapToGrid w:val="0"/>
        </w:rPr>
        <w:t>.</w:t>
      </w:r>
      <w:r>
        <w:rPr>
          <w:snapToGrid w:val="0"/>
        </w:rPr>
        <w:tab/>
        <w:t>Expenses that are to be reimbursed — s. 5.98(2)(a) and (3)</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156" w:name="_Toc12955318"/>
      <w:bookmarkStart w:id="157" w:name="_Toc12955605"/>
      <w:r>
        <w:tab/>
        <w:t>[Regulation 31 amended in Gazette 31 Mar 2005 p. 1034.]</w:t>
      </w:r>
    </w:p>
    <w:p>
      <w:pPr>
        <w:pStyle w:val="Heading5"/>
        <w:rPr>
          <w:snapToGrid w:val="0"/>
        </w:rPr>
      </w:pPr>
      <w:bookmarkStart w:id="158" w:name="_Toc112152221"/>
      <w:bookmarkStart w:id="159" w:name="_Toc180402181"/>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160" w:name="_Toc12955319"/>
      <w:bookmarkStart w:id="161" w:name="_Toc12955606"/>
      <w:bookmarkStart w:id="162" w:name="_Toc112152222"/>
      <w:bookmarkStart w:id="163" w:name="_Toc180402182"/>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164" w:name="_Toc12955320"/>
      <w:bookmarkStart w:id="165" w:name="_Toc12955607"/>
      <w:bookmarkStart w:id="166" w:name="_Toc112152223"/>
      <w:bookmarkStart w:id="167" w:name="_Toc180402183"/>
      <w:r>
        <w:rPr>
          <w:rStyle w:val="CharSectno"/>
        </w:rPr>
        <w:t>33A</w:t>
      </w:r>
      <w:r>
        <w:t>.</w:t>
      </w:r>
      <w:r>
        <w:tab/>
        <w:t>Annual local government allowance for deputies — s. 5.98A</w:t>
      </w:r>
      <w:bookmarkEnd w:id="164"/>
      <w:bookmarkEnd w:id="165"/>
      <w:bookmarkEnd w:id="166"/>
      <w:bookmarkEnd w:id="167"/>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168" w:name="_Toc12955321"/>
      <w:bookmarkStart w:id="169" w:name="_Toc12955608"/>
      <w:bookmarkStart w:id="170" w:name="_Toc112152224"/>
      <w:bookmarkStart w:id="171" w:name="_Toc180402184"/>
      <w:r>
        <w:rPr>
          <w:rStyle w:val="CharSectno"/>
        </w:rPr>
        <w:t>34</w:t>
      </w:r>
      <w:r>
        <w:rPr>
          <w:snapToGrid w:val="0"/>
        </w:rPr>
        <w:t>.</w:t>
      </w:r>
      <w:r>
        <w:rPr>
          <w:snapToGrid w:val="0"/>
        </w:rPr>
        <w:tab/>
        <w:t>Annual attendance fees — s. 5.99</w:t>
      </w:r>
      <w:bookmarkEnd w:id="168"/>
      <w:bookmarkEnd w:id="169"/>
      <w:bookmarkEnd w:id="170"/>
      <w:bookmarkEnd w:id="171"/>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172" w:name="_Toc12955322"/>
      <w:bookmarkStart w:id="173" w:name="_Toc12955609"/>
      <w:bookmarkStart w:id="174" w:name="_Toc112152225"/>
      <w:bookmarkStart w:id="175" w:name="_Toc180402185"/>
      <w:r>
        <w:rPr>
          <w:rStyle w:val="CharSectno"/>
        </w:rPr>
        <w:t>34A</w:t>
      </w:r>
      <w:r>
        <w:t>.</w:t>
      </w:r>
      <w:r>
        <w:tab/>
        <w:t>Allowances in lieu of reimbursement of telecommunications expenses — s. 5.99A</w:t>
      </w:r>
      <w:bookmarkEnd w:id="172"/>
      <w:bookmarkEnd w:id="173"/>
      <w:bookmarkEnd w:id="174"/>
      <w:bookmarkEnd w:id="175"/>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176" w:name="_Toc112152226"/>
      <w:bookmarkStart w:id="177" w:name="_Toc180402186"/>
      <w:bookmarkStart w:id="178" w:name="_Toc12955323"/>
      <w:bookmarkStart w:id="179" w:name="_Toc12955610"/>
      <w:r>
        <w:rPr>
          <w:rStyle w:val="CharSectno"/>
        </w:rPr>
        <w:t>34AA</w:t>
      </w:r>
      <w:r>
        <w:t>.</w:t>
      </w:r>
      <w:r>
        <w:tab/>
        <w:t>Allowances in lieu of reimbursement of information technology expenses — s. 5.99A</w:t>
      </w:r>
      <w:bookmarkEnd w:id="176"/>
      <w:bookmarkEnd w:id="177"/>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180" w:name="_Toc112152227"/>
      <w:bookmarkStart w:id="181" w:name="_Toc180402187"/>
      <w:r>
        <w:rPr>
          <w:rStyle w:val="CharSectno"/>
        </w:rPr>
        <w:t>34AB</w:t>
      </w:r>
      <w:r>
        <w:t>.</w:t>
      </w:r>
      <w:r>
        <w:tab/>
        <w:t>Allowances in lieu of reimbursement of travelling and accommodation expenses — s. 5.99A</w:t>
      </w:r>
      <w:bookmarkEnd w:id="180"/>
      <w:bookmarkEnd w:id="181"/>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182" w:name="_Toc180402188"/>
      <w:bookmarkStart w:id="183" w:name="_Toc12955324"/>
      <w:bookmarkStart w:id="184" w:name="_Toc12955611"/>
      <w:bookmarkStart w:id="185" w:name="_Toc112152229"/>
      <w:bookmarkEnd w:id="178"/>
      <w:bookmarkEnd w:id="179"/>
      <w:r>
        <w:rPr>
          <w:rStyle w:val="CharSectno"/>
        </w:rPr>
        <w:t>34B</w:t>
      </w:r>
      <w:r>
        <w:t>.</w:t>
      </w:r>
      <w:r>
        <w:tab/>
        <w:t>Codes of conduct (gifts) — s. 5.103(3)</w:t>
      </w:r>
      <w:bookmarkEnd w:id="182"/>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 xml:space="preserve">means —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 xml:space="preserve">A code of conduct is to contain a requirement that a person who is an employee refrain from accepting a prohibited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t>(3)</w:t>
      </w:r>
      <w:r>
        <w:tab/>
        <w:t xml:space="preserve">A code of conduct is to contain a requirement that a person who is an employee and who accepts a notifiable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pPr>
      <w:r>
        <w:tab/>
        <w:t>(4)</w:t>
      </w:r>
      <w:r>
        <w:tab/>
        <w:t xml:space="preserve">A code of conduct is to require that the notification of the acceptance of a notifiable gift be in writing and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an employee and the person who gave the gift; and</w:t>
      </w:r>
    </w:p>
    <w:p>
      <w:pPr>
        <w:pStyle w:val="Indenta"/>
      </w:pPr>
      <w:r>
        <w:tab/>
        <w:t>(e)</w:t>
      </w:r>
      <w:r>
        <w:tab/>
        <w:t xml:space="preserve">if the gift is a notifiable gift under paragraph (b) of the definition of “notifiable gift” in subregulation (1)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186" w:name="_Toc180402189"/>
      <w:bookmarkEnd w:id="183"/>
      <w:bookmarkEnd w:id="184"/>
      <w:bookmarkEnd w:id="185"/>
      <w:r>
        <w:rPr>
          <w:rStyle w:val="CharSectno"/>
        </w:rPr>
        <w:t>34C</w:t>
      </w:r>
      <w:r>
        <w:t>.</w:t>
      </w:r>
      <w:r>
        <w:tab/>
        <w:t>Codes of conduct (disclosure of interests affecting impartiality) — s. 5.103(3)</w:t>
      </w:r>
      <w:bookmarkEnd w:id="186"/>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(4)</w:t>
      </w:r>
      <w:r>
        <w:tab/>
        <w:t>A code of conduct is to exclude from a requirement made under subregulation (2) or (3) an interest referred to in section 5.60.</w:t>
      </w:r>
    </w:p>
    <w:p>
      <w:pPr>
        <w:pStyle w:val="Subsection"/>
      </w:pPr>
      <w:r>
        <w:tab/>
        <w:t>(5)</w:t>
      </w:r>
      <w:r>
        <w:tab/>
        <w:t xml:space="preserve">A code of conduct is to excuse a person from a requirement made under subregulation (2) or (3) to disclose the nature of an interest if —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 xml:space="preserve">If —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bookmarkStart w:id="187" w:name="_Toc12955618"/>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8" w:name="_Toc112152230"/>
      <w:bookmarkStart w:id="189" w:name="_Toc148333709"/>
      <w:bookmarkStart w:id="190" w:name="_Toc148426325"/>
      <w:bookmarkStart w:id="191" w:name="_Toc148860533"/>
      <w:bookmarkStart w:id="192" w:name="_Toc148922761"/>
      <w:bookmarkStart w:id="193" w:name="_Toc151178012"/>
      <w:bookmarkStart w:id="194" w:name="_Toc151191131"/>
      <w:bookmarkStart w:id="195" w:name="_Toc153784576"/>
      <w:bookmarkStart w:id="196" w:name="_Toc175386975"/>
      <w:bookmarkStart w:id="197" w:name="_Toc180384454"/>
      <w:bookmarkStart w:id="198" w:name="_Toc180402190"/>
      <w:r>
        <w:rPr>
          <w:rStyle w:val="CharSchNo"/>
        </w:rPr>
        <w:t>Schedule 1</w:t>
      </w:r>
      <w:r>
        <w:t> — </w:t>
      </w:r>
      <w:r>
        <w:rPr>
          <w:rStyle w:val="CharSchText"/>
        </w:rPr>
        <w:t>Forms</w:t>
      </w:r>
      <w:bookmarkEnd w:id="187"/>
      <w:bookmarkEnd w:id="188"/>
      <w:bookmarkEnd w:id="189"/>
      <w:bookmarkEnd w:id="190"/>
      <w:bookmarkEnd w:id="191"/>
      <w:bookmarkEnd w:id="192"/>
      <w:bookmarkEnd w:id="193"/>
      <w:bookmarkEnd w:id="194"/>
      <w:bookmarkEnd w:id="195"/>
      <w:bookmarkEnd w:id="196"/>
      <w:bookmarkEnd w:id="197"/>
      <w:bookmarkEnd w:id="198"/>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4.</w:t>
      </w:r>
      <w:r>
        <w:rPr>
          <w:b/>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gift</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giver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Contributions to travel</w:t>
      </w:r>
    </w:p>
    <w:p>
      <w:pPr>
        <w:pStyle w:val="yTable"/>
        <w:tabs>
          <w:tab w:val="right" w:leader="dot" w:pos="7088"/>
        </w:tabs>
        <w:spacing w:after="60"/>
        <w:ind w:left="567" w:hanging="567"/>
        <w:rPr>
          <w:snapToGrid w:val="0"/>
        </w:rPr>
      </w:pPr>
      <w:r>
        <w:rPr>
          <w:snapToGrid w:val="0"/>
        </w:rPr>
        <w:tab/>
        <w:t>Section 5.83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contributor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99" w:name="_Toc103151956"/>
      <w:bookmarkStart w:id="200" w:name="_Toc103664189"/>
      <w:bookmarkStart w:id="201" w:name="_Toc103741399"/>
      <w:bookmarkStart w:id="202" w:name="_Toc112135397"/>
      <w:bookmarkStart w:id="203" w:name="_Toc112152231"/>
      <w:bookmarkStart w:id="204" w:name="_Toc148333710"/>
      <w:bookmarkStart w:id="205" w:name="_Toc148426326"/>
      <w:bookmarkStart w:id="206" w:name="_Toc148860534"/>
      <w:bookmarkStart w:id="207" w:name="_Toc148922762"/>
      <w:bookmarkStart w:id="208" w:name="_Toc151178013"/>
      <w:bookmarkStart w:id="209" w:name="_Toc151191132"/>
      <w:bookmarkStart w:id="210" w:name="_Toc153784577"/>
      <w:bookmarkStart w:id="211" w:name="_Toc175386976"/>
      <w:bookmarkStart w:id="212" w:name="_Toc180384455"/>
      <w:bookmarkStart w:id="213" w:name="_Toc180402191"/>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4" w:name="_Toc180402192"/>
      <w:r>
        <w:rPr>
          <w:snapToGrid w:val="0"/>
        </w:rP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Borders>
              <w:bottom w:val="single" w:sz="4" w:space="0" w:color="auto"/>
            </w:tcBorders>
          </w:tcPr>
          <w:p>
            <w:pPr>
              <w:pStyle w:val="nTable"/>
              <w:keepNext/>
              <w:keepLines/>
              <w:spacing w:after="40"/>
              <w:rPr>
                <w:iCs/>
                <w:sz w:val="19"/>
              </w:rPr>
            </w:pPr>
            <w:r>
              <w:rPr>
                <w:i/>
                <w:sz w:val="19"/>
              </w:rPr>
              <w:t xml:space="preserve">Local Government (Administration) Amendment Regulations 2007 </w:t>
            </w:r>
          </w:p>
        </w:tc>
        <w:tc>
          <w:tcPr>
            <w:tcW w:w="1276" w:type="dxa"/>
            <w:tcBorders>
              <w:bottom w:val="single" w:sz="4" w:space="0" w:color="auto"/>
            </w:tcBorders>
          </w:tcPr>
          <w:p>
            <w:pPr>
              <w:pStyle w:val="nTable"/>
              <w:keepNext/>
              <w:keepLines/>
              <w:spacing w:after="40"/>
              <w:rPr>
                <w:sz w:val="19"/>
              </w:rPr>
            </w:pPr>
            <w:r>
              <w:rPr>
                <w:sz w:val="19"/>
              </w:rPr>
              <w:t>21 Aug 2007 p. 4189</w:t>
            </w:r>
            <w:r>
              <w:rPr>
                <w:sz w:val="19"/>
              </w:rPr>
              <w:noBreakHyphen/>
              <w:t>93</w:t>
            </w:r>
          </w:p>
        </w:tc>
        <w:tc>
          <w:tcPr>
            <w:tcW w:w="2693" w:type="dxa"/>
            <w:tcBorders>
              <w:bottom w:val="single" w:sz="4" w:space="0" w:color="auto"/>
            </w:tcBorders>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128"/>
    <w:docVar w:name="WAFER_20151207141128" w:val="RemoveTrackChanges"/>
    <w:docVar w:name="WAFER_20151207141128_GUID" w:val="8e5b9bb0-ade7-4b9e-a291-19f20beba2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10208</Words>
  <Characters>52270</Characters>
  <Application>Microsoft Office Word</Application>
  <DocSecurity>0</DocSecurity>
  <Lines>1742</Lines>
  <Paragraphs>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1996 - 02-c0-04</dc:title>
  <dc:subject/>
  <dc:creator/>
  <cp:keywords/>
  <dc:description/>
  <cp:lastModifiedBy>svcMRProcess</cp:lastModifiedBy>
  <cp:revision>4</cp:revision>
  <cp:lastPrinted>2006-11-13T06:23:00Z</cp:lastPrinted>
  <dcterms:created xsi:type="dcterms:W3CDTF">2018-09-12T11:18:00Z</dcterms:created>
  <dcterms:modified xsi:type="dcterms:W3CDTF">2018-09-12T11:18:00Z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20071021</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AsAtDate">
    <vt:lpwstr>21 Oct 2007</vt:lpwstr>
  </property>
  <property fmtid="{D5CDD505-2E9C-101B-9397-08002B2CF9AE}" pid="8" name="Suffix">
    <vt:lpwstr>02-c0-04</vt:lpwstr>
  </property>
</Properties>
</file>