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(Rules of Conduct)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_Toc421011445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_Toc421011446 \h </w:instrText>
      </w:r>
      <w:r>
        <w:fldChar w:fldCharType="separate"/>
      </w:r>
      <w:r>
        <w:t>1</w:t>
      </w:r>
      <w:r>
        <w:fldChar w:fldCharType="end"/>
      </w:r>
    </w:p>
    <w:p>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_Toc421011447 \h </w:instrText>
      </w:r>
      <w:r>
        <w:fldChar w:fldCharType="separate"/>
      </w:r>
      <w:r>
        <w:t>1</w:t>
      </w:r>
      <w:r>
        <w:fldChar w:fldCharType="end"/>
      </w:r>
    </w:p>
    <w:p>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_Toc421011448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Rules of conduct</w:t>
      </w:r>
    </w:p>
    <w:p>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_Toc421011450 \h </w:instrText>
      </w:r>
      <w:r>
        <w:fldChar w:fldCharType="separate"/>
      </w:r>
      <w:r>
        <w:t>3</w:t>
      </w:r>
      <w:r>
        <w:fldChar w:fldCharType="end"/>
      </w:r>
    </w:p>
    <w:p>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_Toc421011451 \h </w:instrText>
      </w:r>
      <w:r>
        <w:fldChar w:fldCharType="separate"/>
      </w:r>
      <w:r>
        <w:t>3</w:t>
      </w:r>
      <w:r>
        <w:fldChar w:fldCharType="end"/>
      </w:r>
    </w:p>
    <w:p>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_Toc421011452 \h </w:instrText>
      </w:r>
      <w:r>
        <w:fldChar w:fldCharType="separate"/>
      </w:r>
      <w:r>
        <w:t>4</w:t>
      </w:r>
      <w:r>
        <w:fldChar w:fldCharType="end"/>
      </w:r>
    </w:p>
    <w:p>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_Toc421011453 \h </w:instrText>
      </w:r>
      <w:r>
        <w:fldChar w:fldCharType="separate"/>
      </w:r>
      <w:r>
        <w:t>4</w:t>
      </w:r>
      <w:r>
        <w:fldChar w:fldCharType="end"/>
      </w:r>
    </w:p>
    <w:p>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_Toc421011454 \h </w:instrText>
      </w:r>
      <w:r>
        <w:fldChar w:fldCharType="separate"/>
      </w:r>
      <w:r>
        <w:t>4</w:t>
      </w:r>
      <w:r>
        <w:fldChar w:fldCharType="end"/>
      </w:r>
    </w:p>
    <w:p>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_Toc421011455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_Toc421011456 \h </w:instrText>
      </w:r>
      <w:r>
        <w:fldChar w:fldCharType="separate"/>
      </w:r>
      <w:r>
        <w:t>5</w:t>
      </w:r>
      <w:r>
        <w:fldChar w:fldCharType="end"/>
      </w:r>
    </w:p>
    <w:p>
      <w:pPr>
        <w:pStyle w:val="TOC8"/>
        <w:rPr>
          <w:rFonts w:asciiTheme="minorHAnsi" w:eastAsiaTheme="minorEastAsia" w:hAnsiTheme="minorHAnsi" w:cstheme="minorBidi"/>
          <w:szCs w:val="22"/>
        </w:rPr>
      </w:pPr>
      <w:r>
        <w:t>12.</w:t>
      </w:r>
      <w:r>
        <w:tab/>
        <w:t>Gifts</w:t>
      </w:r>
      <w:r>
        <w:tab/>
      </w:r>
      <w:r>
        <w:fldChar w:fldCharType="begin"/>
      </w:r>
      <w:r>
        <w:instrText xml:space="preserve"> PAGEREF _Toc421011457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_Toc421011459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spacing w:before="0" w:after="0"/>
      </w:pPr>
      <w:r>
        <w:t>Local Government (Rules of Conduct) Regulations 2007</w:t>
      </w:r>
    </w:p>
    <w:p>
      <w:pPr>
        <w:pStyle w:val="Heading2"/>
        <w:pageBreakBefore w:val="0"/>
        <w:spacing w:before="240"/>
      </w:pPr>
      <w:bookmarkStart w:id="3" w:name="_Toc379205772"/>
      <w:bookmarkStart w:id="4" w:name="_Toc421011428"/>
      <w:bookmarkStart w:id="5" w:name="_Toc421011444"/>
      <w:r>
        <w:rPr>
          <w:rStyle w:val="CharPartNo"/>
        </w:rPr>
        <w:t>Part 1</w:t>
      </w:r>
      <w:r>
        <w:rPr>
          <w:rStyle w:val="CharDivNo"/>
        </w:rPr>
        <w:t> </w:t>
      </w:r>
      <w:r>
        <w:t>—</w:t>
      </w:r>
      <w:r>
        <w:rPr>
          <w:rStyle w:val="CharDivText"/>
        </w:rPr>
        <w:t> </w:t>
      </w:r>
      <w:r>
        <w:rPr>
          <w:rStyle w:val="CharPartText"/>
        </w:rPr>
        <w:t>General</w:t>
      </w:r>
      <w:bookmarkEnd w:id="3"/>
      <w:bookmarkEnd w:id="4"/>
      <w:bookmarkEnd w:id="5"/>
    </w:p>
    <w:p>
      <w:pPr>
        <w:pStyle w:val="Heading5"/>
      </w:pPr>
      <w:bookmarkStart w:id="6" w:name="_Toc379205773"/>
      <w:bookmarkStart w:id="7" w:name="_Toc421011445"/>
      <w:r>
        <w:rPr>
          <w:rStyle w:val="CharSectno"/>
        </w:rPr>
        <w:t>1</w:t>
      </w:r>
      <w:r>
        <w:t>.</w:t>
      </w:r>
      <w:r>
        <w:tab/>
        <w:t>Citation</w:t>
      </w:r>
      <w:bookmarkEnd w:id="6"/>
      <w:bookmarkEnd w:id="7"/>
    </w:p>
    <w:p>
      <w:pPr>
        <w:pStyle w:val="Subsection"/>
        <w:ind w:right="282"/>
      </w:pPr>
      <w:r>
        <w:tab/>
      </w:r>
      <w:r>
        <w:tab/>
      </w:r>
      <w:bookmarkStart w:id="8" w:name="Start_Cursor"/>
      <w:bookmarkEnd w:id="8"/>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9" w:name="_Toc379205774"/>
      <w:bookmarkStart w:id="10" w:name="_Toc421011446"/>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1" w:name="_Toc379205775"/>
      <w:bookmarkStart w:id="12" w:name="_Toc421011447"/>
      <w:r>
        <w:rPr>
          <w:rStyle w:val="CharSectno"/>
        </w:rPr>
        <w:t>3</w:t>
      </w:r>
      <w:r>
        <w:t>.</w:t>
      </w:r>
      <w:r>
        <w:tab/>
        <w:t>General principles to guide the behaviour of council members</w:t>
      </w:r>
      <w:bookmarkEnd w:id="11"/>
      <w:bookmarkEnd w:id="12"/>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3" w:name="_Toc379205776"/>
      <w:bookmarkStart w:id="14" w:name="_Toc421011448"/>
      <w:r>
        <w:rPr>
          <w:rStyle w:val="CharSectno"/>
        </w:rPr>
        <w:t>4</w:t>
      </w:r>
      <w:r>
        <w:t>.</w:t>
      </w:r>
      <w:r>
        <w:tab/>
        <w:t>Contravention of certain local laws</w:t>
      </w:r>
      <w:bookmarkEnd w:id="13"/>
      <w:bookmarkEnd w:id="14"/>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5" w:name="_Toc379205777"/>
      <w:bookmarkStart w:id="16" w:name="_Toc421011433"/>
      <w:bookmarkStart w:id="17" w:name="_Toc421011449"/>
      <w:r>
        <w:rPr>
          <w:rStyle w:val="CharPartNo"/>
        </w:rPr>
        <w:t>Part 2</w:t>
      </w:r>
      <w:r>
        <w:rPr>
          <w:rStyle w:val="CharDivNo"/>
        </w:rPr>
        <w:t> </w:t>
      </w:r>
      <w:r>
        <w:t>—</w:t>
      </w:r>
      <w:r>
        <w:rPr>
          <w:rStyle w:val="CharDivText"/>
        </w:rPr>
        <w:t> </w:t>
      </w:r>
      <w:r>
        <w:rPr>
          <w:rStyle w:val="CharPartText"/>
        </w:rPr>
        <w:t>Rules of conduct</w:t>
      </w:r>
      <w:bookmarkEnd w:id="15"/>
      <w:bookmarkEnd w:id="16"/>
      <w:bookmarkEnd w:id="17"/>
    </w:p>
    <w:p>
      <w:pPr>
        <w:pStyle w:val="Heading5"/>
      </w:pPr>
      <w:bookmarkStart w:id="18" w:name="_Toc379205778"/>
      <w:bookmarkStart w:id="19" w:name="_Toc421011450"/>
      <w:r>
        <w:rPr>
          <w:rStyle w:val="CharSectno"/>
        </w:rPr>
        <w:t>5</w:t>
      </w:r>
      <w:r>
        <w:t>.</w:t>
      </w:r>
      <w:r>
        <w:tab/>
        <w:t>Rules of conduct</w:t>
      </w:r>
      <w:bookmarkEnd w:id="18"/>
      <w:bookmarkEnd w:id="19"/>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5"/>
      </w:pPr>
      <w:bookmarkStart w:id="20" w:name="_Toc379205779"/>
      <w:bookmarkStart w:id="21" w:name="_Toc421011451"/>
      <w:r>
        <w:rPr>
          <w:rStyle w:val="CharSectno"/>
        </w:rPr>
        <w:t>6</w:t>
      </w:r>
      <w:r>
        <w:t>.</w:t>
      </w:r>
      <w:r>
        <w:tab/>
        <w:t>Use of information</w:t>
      </w:r>
      <w:bookmarkEnd w:id="20"/>
      <w:bookmarkEnd w:id="21"/>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22" w:name="_Toc379205780"/>
      <w:bookmarkStart w:id="23" w:name="_Toc421011452"/>
      <w:r>
        <w:rPr>
          <w:rStyle w:val="CharSectno"/>
        </w:rPr>
        <w:t>7</w:t>
      </w:r>
      <w:r>
        <w:t>.</w:t>
      </w:r>
      <w:r>
        <w:tab/>
        <w:t>Securing personal advantage or disadvantaging others</w:t>
      </w:r>
      <w:bookmarkEnd w:id="22"/>
      <w:bookmarkEnd w:id="23"/>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24" w:name="_Toc379205781"/>
      <w:bookmarkStart w:id="25" w:name="_Toc421011453"/>
      <w:r>
        <w:rPr>
          <w:rStyle w:val="CharSectno"/>
        </w:rPr>
        <w:t>8</w:t>
      </w:r>
      <w:r>
        <w:t>.</w:t>
      </w:r>
      <w:r>
        <w:tab/>
        <w:t>Misuse of local government resources</w:t>
      </w:r>
      <w:bookmarkEnd w:id="24"/>
      <w:bookmarkEnd w:id="25"/>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26" w:name="_Toc379205782"/>
      <w:bookmarkStart w:id="27" w:name="_Toc421011454"/>
      <w:r>
        <w:rPr>
          <w:rStyle w:val="CharSectno"/>
        </w:rPr>
        <w:t>9</w:t>
      </w:r>
      <w:r>
        <w:t>.</w:t>
      </w:r>
      <w:r>
        <w:tab/>
        <w:t>Prohibition against involvement in administration</w:t>
      </w:r>
      <w:bookmarkEnd w:id="26"/>
      <w:bookmarkEnd w:id="27"/>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28" w:name="_Toc379205783"/>
      <w:bookmarkStart w:id="29" w:name="_Toc421011455"/>
      <w:r>
        <w:rPr>
          <w:rStyle w:val="CharSectno"/>
        </w:rPr>
        <w:t>10</w:t>
      </w:r>
      <w:r>
        <w:t>.</w:t>
      </w:r>
      <w:r>
        <w:tab/>
        <w:t>Relations with local government employees</w:t>
      </w:r>
      <w:bookmarkEnd w:id="28"/>
      <w:bookmarkEnd w:id="29"/>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30" w:name="_Toc379205784"/>
      <w:bookmarkStart w:id="31" w:name="_Toc421011456"/>
      <w:r>
        <w:rPr>
          <w:rStyle w:val="CharSectno"/>
        </w:rPr>
        <w:t>11</w:t>
      </w:r>
      <w:r>
        <w:t>.</w:t>
      </w:r>
      <w:r>
        <w:tab/>
        <w:t>Disclosure of interest</w:t>
      </w:r>
      <w:bookmarkEnd w:id="30"/>
      <w:bookmarkEnd w:id="31"/>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pPr>
      <w:bookmarkStart w:id="32" w:name="_Toc379205785"/>
      <w:bookmarkStart w:id="33" w:name="_Toc421011457"/>
      <w:r>
        <w:rPr>
          <w:rStyle w:val="CharSectno"/>
        </w:rPr>
        <w:t>12</w:t>
      </w:r>
      <w:r>
        <w:t>.</w:t>
      </w:r>
      <w:r>
        <w:tab/>
        <w:t>Gifts</w:t>
      </w:r>
      <w:bookmarkEnd w:id="32"/>
      <w:bookmarkEnd w:id="33"/>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of the Act except that it does not include — </w:t>
      </w:r>
    </w:p>
    <w:p>
      <w:pPr>
        <w:pStyle w:val="Defpara"/>
      </w:pPr>
      <w:r>
        <w:tab/>
        <w:t>(a)</w:t>
      </w:r>
      <w:r>
        <w:tab/>
        <w:t>a gift from a relative as defined in section 5.74(1) of the Act;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 council member,</w:t>
      </w:r>
      <w:r>
        <w:t xml:space="preserve"> means — </w:t>
      </w:r>
    </w:p>
    <w:p>
      <w:pPr>
        <w:pStyle w:val="Defpara"/>
      </w:pPr>
      <w:r>
        <w:tab/>
        <w:t>(a)</w:t>
      </w:r>
      <w:r>
        <w:tab/>
        <w:t>a gift worth between $50 and $300; or</w:t>
      </w:r>
    </w:p>
    <w:p>
      <w:pPr>
        <w:pStyle w:val="Defpara"/>
      </w:pPr>
      <w:r>
        <w:tab/>
        <w:t>(b)</w:t>
      </w:r>
      <w:r>
        <w:tab/>
        <w:t>a gift that is one of 2 or more gifts given to the council member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 council member, </w:t>
      </w:r>
      <w:r>
        <w:t xml:space="preserve">means — </w:t>
      </w:r>
    </w:p>
    <w:p>
      <w:pPr>
        <w:pStyle w:val="Defpara"/>
      </w:pPr>
      <w:r>
        <w:tab/>
        <w:t>(a)</w:t>
      </w:r>
      <w:r>
        <w:tab/>
        <w:t>a gift worth $300 or more; or</w:t>
      </w:r>
    </w:p>
    <w:p>
      <w:pPr>
        <w:pStyle w:val="Defpara"/>
        <w:rPr>
          <w:rStyle w:val="DraftersNotes"/>
        </w:rPr>
      </w:pPr>
      <w:r>
        <w:tab/>
        <w:t>(b)</w:t>
      </w:r>
      <w:r>
        <w:tab/>
        <w:t>a gift that is one of 2 or more gifts given to the council member by the same person within a period of 6 months that are in total worth $300 or more.</w:t>
      </w:r>
    </w:p>
    <w:p>
      <w:pPr>
        <w:pStyle w:val="Subsection"/>
      </w:pPr>
      <w:r>
        <w:tab/>
        <w:t>(2)</w:t>
      </w:r>
      <w:r>
        <w:tab/>
        <w:t xml:space="preserve">A person who is a council member must not accept a prohibited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w:t>
      </w:r>
    </w:p>
    <w:p>
      <w:pPr>
        <w:pStyle w:val="Subsection"/>
      </w:pPr>
      <w:r>
        <w:tab/>
        <w:t>(3)</w:t>
      </w:r>
      <w:r>
        <w:tab/>
        <w:t xml:space="preserve">A person who is a council member and who accepts a notifiable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 must, within 10 days of accepting the gift, notify the CEO of the acceptance in accordance with subregulation (4).</w:t>
      </w:r>
    </w:p>
    <w:p>
      <w:pPr>
        <w:pStyle w:val="Subsection"/>
      </w:pPr>
      <w:r>
        <w:tab/>
        <w:t>(4)</w:t>
      </w:r>
      <w:r>
        <w:tab/>
        <w:t xml:space="preserve">Notification of the acceptance of a notifiable gift is to be in writing and is to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 council member and the person who gave the gift; and</w:t>
      </w:r>
    </w:p>
    <w:p>
      <w:pPr>
        <w:pStyle w:val="Indenta"/>
      </w:pPr>
      <w:r>
        <w:tab/>
        <w:t>(e)</w:t>
      </w:r>
      <w:r>
        <w:tab/>
        <w:t xml:space="preserve">if the gift is a notifiable gift under paragraph (b) of the definition of “notifiable gift”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4" w:name="_Toc379205786"/>
      <w:bookmarkStart w:id="35" w:name="_Toc421011442"/>
      <w:bookmarkStart w:id="36" w:name="_Toc421011458"/>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(Rules of Conduct) Regulations 2007</w:t>
      </w:r>
      <w:r>
        <w:rPr>
          <w:snapToGrid w:val="0"/>
        </w:rPr>
        <w:t xml:space="preserve">.  The following table contains information about those regulations. </w:t>
      </w:r>
    </w:p>
    <w:p>
      <w:pPr>
        <w:pStyle w:val="nHeading3"/>
      </w:pPr>
      <w:bookmarkStart w:id="37" w:name="_Toc379205787"/>
      <w:bookmarkStart w:id="38" w:name="_Toc421011459"/>
      <w:r>
        <w:t>Compilation table</w:t>
      </w:r>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Pr>
          <w:p>
            <w:pPr>
              <w:pStyle w:val="nTable"/>
              <w:spacing w:after="40"/>
            </w:pPr>
            <w:r>
              <w:t>21 Aug 2007 p.4203</w:t>
            </w:r>
            <w:r>
              <w:noBreakHyphen/>
              <w:t>16</w:t>
            </w:r>
          </w:p>
        </w:tc>
        <w:tc>
          <w:tcPr>
            <w:tcW w:w="2693" w:type="dxa"/>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5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2092</Words>
  <Characters>9919</Characters>
  <Application>Microsoft Office Word</Application>
  <DocSecurity>0</DocSecurity>
  <Lines>300</Lines>
  <Paragraphs>193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2007 - 00-b0-06</dc:title>
  <dc:subject/>
  <dc:creator/>
  <cp:keywords/>
  <dc:description/>
  <cp:lastModifiedBy>svcMRProcess</cp:lastModifiedBy>
  <cp:revision>4</cp:revision>
  <cp:lastPrinted>2007-08-06T07:07:00Z</cp:lastPrinted>
  <dcterms:created xsi:type="dcterms:W3CDTF">2018-09-17T05:16:00Z</dcterms:created>
  <dcterms:modified xsi:type="dcterms:W3CDTF">2018-09-17T05:16:00Z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CommencementDate">
    <vt:lpwstr>20071021</vt:lpwstr>
  </property>
  <property fmtid="{D5CDD505-2E9C-101B-9397-08002B2CF9AE}" pid="4" name="DocumentType">
    <vt:lpwstr>Reg</vt:lpwstr>
  </property>
  <property fmtid="{D5CDD505-2E9C-101B-9397-08002B2CF9AE}" pid="5" name="OwlsUID">
    <vt:i4>34895</vt:i4>
  </property>
  <property fmtid="{D5CDD505-2E9C-101B-9397-08002B2CF9AE}" pid="6" name="AsAtDate">
    <vt:lpwstr>21 Oct 2007</vt:lpwstr>
  </property>
  <property fmtid="{D5CDD505-2E9C-101B-9397-08002B2CF9AE}" pid="7" name="Suffix">
    <vt:lpwstr>00-b0-06</vt:lpwstr>
  </property>
</Properties>
</file>