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Agricultural Produce (Chemical Residues) Act 1983</w:t>
      </w:r>
      <w:r>
        <w:fldChar w:fldCharType="end"/>
      </w:r>
      <w:bookmarkStart w:id="1" w:name="UpToHere"/>
      <w:bookmarkEnd w:id="1"/>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_Toc180922735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_Toc180922736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_Toc180922737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_Toc180922738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_Toc180922739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Authorised persons and analysts</w:t>
      </w:r>
      <w:r>
        <w:tab/>
      </w:r>
      <w:r>
        <w:fldChar w:fldCharType="begin"/>
      </w:r>
      <w:r>
        <w:instrText xml:space="preserve"> PAGEREF _Toc180922740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Quarantine notice</w:t>
      </w:r>
      <w:r>
        <w:tab/>
      </w:r>
      <w:r>
        <w:fldChar w:fldCharType="begin"/>
      </w:r>
      <w:r>
        <w:instrText xml:space="preserve"> PAGEREF _Toc180922741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Destruction or disposal</w:t>
      </w:r>
      <w:r>
        <w:tab/>
      </w:r>
      <w:r>
        <w:fldChar w:fldCharType="begin"/>
      </w:r>
      <w:r>
        <w:instrText xml:space="preserve"> PAGEREF _Toc180922742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Contravention of notice</w:t>
      </w:r>
      <w:r>
        <w:tab/>
      </w:r>
      <w:r>
        <w:fldChar w:fldCharType="begin"/>
      </w:r>
      <w:r>
        <w:instrText xml:space="preserve"> PAGEREF _Toc180922743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Identification</w:t>
      </w:r>
      <w:r>
        <w:tab/>
      </w:r>
      <w:r>
        <w:fldChar w:fldCharType="begin"/>
      </w:r>
      <w:r>
        <w:instrText xml:space="preserve"> PAGEREF _Toc180922744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Approval</w:t>
      </w:r>
      <w:r>
        <w:tab/>
      </w:r>
      <w:r>
        <w:fldChar w:fldCharType="begin"/>
      </w:r>
      <w:r>
        <w:instrText xml:space="preserve"> PAGEREF _Toc180922745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Authorised person may carry out direction</w:t>
      </w:r>
      <w:r>
        <w:tab/>
      </w:r>
      <w:r>
        <w:fldChar w:fldCharType="begin"/>
      </w:r>
      <w:r>
        <w:instrText xml:space="preserve"> PAGEREF _Toc180922746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Compensation</w:t>
      </w:r>
      <w:r>
        <w:tab/>
      </w:r>
      <w:r>
        <w:fldChar w:fldCharType="begin"/>
      </w:r>
      <w:r>
        <w:instrText xml:space="preserve"> PAGEREF _Toc180922747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of entry</w:t>
      </w:r>
      <w:r>
        <w:tab/>
      </w:r>
      <w:r>
        <w:fldChar w:fldCharType="begin"/>
      </w:r>
      <w:r>
        <w:instrText xml:space="preserve"> PAGEREF _Toc180922748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Vehicles or other conveyances</w:t>
      </w:r>
      <w:r>
        <w:tab/>
      </w:r>
      <w:r>
        <w:fldChar w:fldCharType="begin"/>
      </w:r>
      <w:r>
        <w:instrText xml:space="preserve"> PAGEREF _Toc180922749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Testing, sampling, and taking specimens</w:t>
      </w:r>
      <w:r>
        <w:tab/>
      </w:r>
      <w:r>
        <w:fldChar w:fldCharType="begin"/>
      </w:r>
      <w:r>
        <w:instrText xml:space="preserve"> PAGEREF _Toc180922750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Other powers of authorised persons</w:t>
      </w:r>
      <w:r>
        <w:tab/>
      </w:r>
      <w:r>
        <w:fldChar w:fldCharType="begin"/>
      </w:r>
      <w:r>
        <w:instrText xml:space="preserve"> PAGEREF _Toc180922751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Tampering with samples</w:t>
      </w:r>
      <w:r>
        <w:tab/>
      </w:r>
      <w:r>
        <w:fldChar w:fldCharType="begin"/>
      </w:r>
      <w:r>
        <w:instrText xml:space="preserve"> PAGEREF _Toc180922752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General offences</w:t>
      </w:r>
      <w:r>
        <w:tab/>
      </w:r>
      <w:r>
        <w:fldChar w:fldCharType="begin"/>
      </w:r>
      <w:r>
        <w:instrText xml:space="preserve"> PAGEREF _Toc180922753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Appeal</w:t>
      </w:r>
      <w:r>
        <w:tab/>
      </w:r>
      <w:r>
        <w:fldChar w:fldCharType="begin"/>
      </w:r>
      <w:r>
        <w:instrText xml:space="preserve"> PAGEREF _Toc180922754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Prosecutions</w:t>
      </w:r>
      <w:r>
        <w:tab/>
      </w:r>
      <w:r>
        <w:fldChar w:fldCharType="begin"/>
      </w:r>
      <w:r>
        <w:instrText xml:space="preserve"> PAGEREF _Toc180922755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_Toc180922756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Seizure</w:t>
      </w:r>
      <w:r>
        <w:tab/>
      </w:r>
      <w:r>
        <w:fldChar w:fldCharType="begin"/>
      </w:r>
      <w:r>
        <w:instrText xml:space="preserve"> PAGEREF _Toc180922757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_Toc180922758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Immunity</w:t>
      </w:r>
      <w:r>
        <w:tab/>
      </w:r>
      <w:r>
        <w:fldChar w:fldCharType="begin"/>
      </w:r>
      <w:r>
        <w:instrText xml:space="preserve"> PAGEREF _Toc180922759 \h </w:instrText>
      </w:r>
      <w:r>
        <w:fldChar w:fldCharType="separate"/>
      </w:r>
      <w:r>
        <w:t>18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_Toc180922761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_Toc180922762 \h </w:instrText>
      </w:r>
      <w:r>
        <w:fldChar w:fldCharType="separate"/>
      </w:r>
      <w:r>
        <w:t>19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Produce (Chemical Residues) Act 1983 </w:t>
      </w:r>
    </w:p>
    <w:p>
      <w:pPr>
        <w:pStyle w:val="LongTitle"/>
        <w:spacing w:after="240"/>
        <w:rPr>
          <w:snapToGrid w:val="0"/>
        </w:rPr>
      </w:pPr>
      <w:r>
        <w:rPr>
          <w:snapToGrid w:val="0"/>
        </w:rPr>
        <w:t xml:space="preserve">An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2" w:name="_Toc410721705"/>
      <w:bookmarkStart w:id="3" w:name="_Toc18308838"/>
      <w:bookmarkStart w:id="4" w:name="_Toc18920882"/>
      <w:bookmarkStart w:id="5" w:name="_Toc157831111"/>
      <w:bookmarkStart w:id="6" w:name="_Toc18092273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7" w:name="_Toc410721706"/>
      <w:bookmarkStart w:id="8" w:name="_Toc18308839"/>
      <w:bookmarkStart w:id="9" w:name="_Toc18920883"/>
      <w:bookmarkStart w:id="10" w:name="_Toc157831112"/>
      <w:bookmarkStart w:id="11" w:name="_Toc180922736"/>
      <w:r>
        <w:rPr>
          <w:rStyle w:val="CharSectno"/>
        </w:rPr>
        <w:t>2</w:t>
      </w:r>
      <w:r>
        <w:rPr>
          <w:snapToGrid w:val="0"/>
        </w:rPr>
        <w:t>.</w:t>
      </w:r>
      <w:r>
        <w:rPr>
          <w:snapToGrid w:val="0"/>
        </w:rPr>
        <w:tab/>
        <w:t>Commencement</w:t>
      </w:r>
      <w:bookmarkEnd w:id="7"/>
      <w:bookmarkEnd w:id="8"/>
      <w:bookmarkEnd w:id="9"/>
      <w:bookmarkEnd w:id="10"/>
      <w:bookmarkEnd w:id="11"/>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12" w:name="_Toc410721707"/>
      <w:bookmarkStart w:id="13" w:name="_Toc18308840"/>
      <w:bookmarkStart w:id="14" w:name="_Toc18920884"/>
      <w:bookmarkStart w:id="15" w:name="_Toc157831113"/>
      <w:bookmarkStart w:id="16" w:name="_Toc180922737"/>
      <w:r>
        <w:rPr>
          <w:rStyle w:val="CharSectno"/>
        </w:rPr>
        <w:t>3</w:t>
      </w:r>
      <w:r>
        <w:rPr>
          <w:snapToGrid w:val="0"/>
        </w:rPr>
        <w:t>.</w:t>
      </w:r>
      <w:r>
        <w:rPr>
          <w:snapToGrid w:val="0"/>
        </w:rPr>
        <w:tab/>
        <w:t>Construction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17" w:name="_Toc410721708"/>
      <w:bookmarkStart w:id="18" w:name="_Toc18308841"/>
      <w:bookmarkStart w:id="19" w:name="_Toc18920885"/>
      <w:bookmarkStart w:id="20" w:name="_Toc157831114"/>
      <w:bookmarkStart w:id="21" w:name="_Toc180922738"/>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 chemical</w:t>
      </w:r>
      <w:r>
        <w:t xml:space="preserve"> means any substance prescribed to be an agricultural chemical;</w:t>
      </w:r>
    </w:p>
    <w:p>
      <w:pPr>
        <w:pStyle w:val="Defstart"/>
      </w:pPr>
      <w:r>
        <w:rPr>
          <w:b/>
        </w:rPr>
        <w:tab/>
      </w:r>
      <w:r>
        <w:rPr>
          <w:rStyle w:val="CharDefText"/>
        </w:rPr>
        <w:t>agricultural produce</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r>
      <w:r>
        <w:rPr>
          <w:rStyle w:val="CharDefText"/>
        </w:rPr>
        <w:t>analyst</w:t>
      </w:r>
      <w:r>
        <w:t xml:space="preserve"> means a person appointed under section 6 to be an analyst for the purposes of this Act;</w:t>
      </w:r>
    </w:p>
    <w:p>
      <w:pPr>
        <w:pStyle w:val="Defstart"/>
      </w:pPr>
      <w:r>
        <w:rPr>
          <w:b/>
        </w:rPr>
        <w:tab/>
      </w:r>
      <w:r>
        <w:rPr>
          <w:rStyle w:val="CharDefText"/>
        </w:rPr>
        <w:t>authorised person</w:t>
      </w:r>
      <w:r>
        <w:t xml:space="preserve"> means a person appointed under section 6 to be an authorised person for the purposes of this Act;</w:t>
      </w:r>
    </w:p>
    <w:p>
      <w:pPr>
        <w:pStyle w:val="Defstart"/>
      </w:pPr>
      <w:r>
        <w:rPr>
          <w:b/>
        </w:rPr>
        <w:tab/>
      </w:r>
      <w:r>
        <w:rPr>
          <w:rStyle w:val="CharDefText"/>
        </w:rPr>
        <w:t>food</w:t>
      </w:r>
      <w:r>
        <w:t xml:space="preserve"> includes drink;</w:t>
      </w:r>
    </w:p>
    <w:p>
      <w:pPr>
        <w:pStyle w:val="Defstart"/>
      </w:pPr>
      <w:r>
        <w:rPr>
          <w:b/>
        </w:rPr>
        <w:tab/>
      </w:r>
      <w:r>
        <w:rPr>
          <w:rStyle w:val="CharDefText"/>
        </w:rPr>
        <w:t>maximum residue limit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r>
      <w:r>
        <w:rPr>
          <w:rStyle w:val="CharDefText"/>
        </w:rPr>
        <w:t>officer</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r>
      <w:r>
        <w:rPr>
          <w:rStyle w:val="CharDefText"/>
        </w:rPr>
        <w:t>residue</w:t>
      </w:r>
      <w:r>
        <w:t xml:space="preserve"> in relation to any agricultural chemical includes, in addition to any of that agricultural chemical that is present, any derivative or metabolite of the agricultural chemical present;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22" w:name="_Toc410721709"/>
      <w:bookmarkStart w:id="23" w:name="_Toc18308842"/>
      <w:bookmarkStart w:id="24" w:name="_Toc18920886"/>
      <w:bookmarkStart w:id="25" w:name="_Toc157831115"/>
      <w:bookmarkStart w:id="26" w:name="_Toc180922739"/>
      <w:r>
        <w:rPr>
          <w:rStyle w:val="CharSectno"/>
        </w:rPr>
        <w:t>5</w:t>
      </w:r>
      <w:r>
        <w:rPr>
          <w:snapToGrid w:val="0"/>
        </w:rPr>
        <w:t>.</w:t>
      </w:r>
      <w:r>
        <w:rPr>
          <w:snapToGrid w:val="0"/>
        </w:rPr>
        <w:tab/>
        <w:t>Objects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27" w:name="_Toc410721710"/>
      <w:bookmarkStart w:id="28" w:name="_Toc18308843"/>
      <w:bookmarkStart w:id="29" w:name="_Toc18920887"/>
      <w:bookmarkStart w:id="30" w:name="_Toc157831116"/>
      <w:bookmarkStart w:id="31" w:name="_Toc180922740"/>
      <w:r>
        <w:rPr>
          <w:rStyle w:val="CharSectno"/>
        </w:rPr>
        <w:t>6</w:t>
      </w:r>
      <w:r>
        <w:rPr>
          <w:snapToGrid w:val="0"/>
        </w:rPr>
        <w:t>.</w:t>
      </w:r>
      <w:r>
        <w:rPr>
          <w:snapToGrid w:val="0"/>
        </w:rPr>
        <w:tab/>
        <w:t>Authorised persons and analysts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32" w:name="_Toc410721711"/>
      <w:bookmarkStart w:id="33" w:name="_Toc18308844"/>
      <w:bookmarkStart w:id="34" w:name="_Toc18920888"/>
      <w:bookmarkStart w:id="35" w:name="_Toc157831117"/>
      <w:bookmarkStart w:id="36" w:name="_Toc180922741"/>
      <w:r>
        <w:rPr>
          <w:rStyle w:val="CharSectno"/>
        </w:rPr>
        <w:t>7</w:t>
      </w:r>
      <w:r>
        <w:rPr>
          <w:snapToGrid w:val="0"/>
        </w:rPr>
        <w:t>.</w:t>
      </w:r>
      <w:r>
        <w:rPr>
          <w:snapToGrid w:val="0"/>
        </w:rPr>
        <w:tab/>
        <w:t>Quarantine notice</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37" w:name="_Toc410721712"/>
      <w:bookmarkStart w:id="38" w:name="_Toc18308845"/>
      <w:bookmarkStart w:id="39" w:name="_Toc18920889"/>
      <w:bookmarkStart w:id="40" w:name="_Toc157831118"/>
      <w:bookmarkStart w:id="41" w:name="_Toc180922742"/>
      <w:r>
        <w:rPr>
          <w:rStyle w:val="CharSectno"/>
        </w:rPr>
        <w:t>8</w:t>
      </w:r>
      <w:r>
        <w:rPr>
          <w:snapToGrid w:val="0"/>
        </w:rPr>
        <w:t>.</w:t>
      </w:r>
      <w:r>
        <w:rPr>
          <w:snapToGrid w:val="0"/>
        </w:rPr>
        <w:tab/>
        <w:t>Destruction or disposal</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42" w:name="_Toc410721713"/>
      <w:bookmarkStart w:id="43" w:name="_Toc18308846"/>
      <w:bookmarkStart w:id="44" w:name="_Toc18920890"/>
      <w:bookmarkStart w:id="45" w:name="_Toc157831119"/>
      <w:bookmarkStart w:id="46" w:name="_Toc180922743"/>
      <w:r>
        <w:rPr>
          <w:rStyle w:val="CharSectno"/>
        </w:rPr>
        <w:t>9</w:t>
      </w:r>
      <w:r>
        <w:rPr>
          <w:snapToGrid w:val="0"/>
        </w:rPr>
        <w:t>.</w:t>
      </w:r>
      <w:r>
        <w:rPr>
          <w:snapToGrid w:val="0"/>
        </w:rPr>
        <w:tab/>
        <w:t>Contravention of notice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47" w:name="_Toc410721714"/>
      <w:bookmarkStart w:id="48" w:name="_Toc18308847"/>
      <w:bookmarkStart w:id="49" w:name="_Toc18920891"/>
      <w:bookmarkStart w:id="50" w:name="_Toc157831120"/>
      <w:bookmarkStart w:id="51" w:name="_Toc180922744"/>
      <w:r>
        <w:rPr>
          <w:rStyle w:val="CharSectno"/>
        </w:rPr>
        <w:t>10</w:t>
      </w:r>
      <w:r>
        <w:rPr>
          <w:snapToGrid w:val="0"/>
        </w:rPr>
        <w:t>.</w:t>
      </w:r>
      <w:r>
        <w:rPr>
          <w:snapToGrid w:val="0"/>
        </w:rPr>
        <w:tab/>
        <w:t>Identification</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52" w:name="_Toc410721715"/>
      <w:bookmarkStart w:id="53" w:name="_Toc18308848"/>
      <w:bookmarkStart w:id="54" w:name="_Toc18920892"/>
      <w:bookmarkStart w:id="55" w:name="_Toc157831121"/>
      <w:bookmarkStart w:id="56" w:name="_Toc180922745"/>
      <w:r>
        <w:rPr>
          <w:rStyle w:val="CharSectno"/>
        </w:rPr>
        <w:t>11</w:t>
      </w:r>
      <w:r>
        <w:rPr>
          <w:snapToGrid w:val="0"/>
        </w:rPr>
        <w:t>.</w:t>
      </w:r>
      <w:r>
        <w:rPr>
          <w:snapToGrid w:val="0"/>
        </w:rPr>
        <w:tab/>
        <w:t>Approval</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57" w:name="_Toc410721716"/>
      <w:bookmarkStart w:id="58" w:name="_Toc18308849"/>
      <w:bookmarkStart w:id="59" w:name="_Toc18920893"/>
      <w:bookmarkStart w:id="60" w:name="_Toc157831122"/>
      <w:bookmarkStart w:id="61" w:name="_Toc180922746"/>
      <w:r>
        <w:rPr>
          <w:rStyle w:val="CharSectno"/>
        </w:rPr>
        <w:t>12</w:t>
      </w:r>
      <w:r>
        <w:rPr>
          <w:snapToGrid w:val="0"/>
        </w:rPr>
        <w:t>.</w:t>
      </w:r>
      <w:r>
        <w:rPr>
          <w:snapToGrid w:val="0"/>
        </w:rPr>
        <w:tab/>
        <w:t>Authorised person may carry out direction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62" w:name="_Toc410721717"/>
      <w:bookmarkStart w:id="63" w:name="_Toc18308850"/>
      <w:bookmarkStart w:id="64" w:name="_Toc18920894"/>
      <w:bookmarkStart w:id="65" w:name="_Toc157831123"/>
      <w:bookmarkStart w:id="66" w:name="_Toc180922747"/>
      <w:r>
        <w:rPr>
          <w:rStyle w:val="CharSectno"/>
        </w:rPr>
        <w:t>13</w:t>
      </w:r>
      <w:r>
        <w:rPr>
          <w:snapToGrid w:val="0"/>
        </w:rPr>
        <w:t>.</w:t>
      </w:r>
      <w:r>
        <w:rPr>
          <w:snapToGrid w:val="0"/>
        </w:rPr>
        <w:tab/>
        <w:t>Compensation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rStyle w:val="CharDefText"/>
        </w:rPr>
        <w:t>the affected person</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Account </w:t>
      </w:r>
      <w:r>
        <w:rPr>
          <w:snapToGrid w:val="0"/>
        </w:rPr>
        <w:t>to the affected person of such amount of money by way of compensation as the Minister thinks fit.</w:t>
      </w:r>
    </w:p>
    <w:p>
      <w:pPr>
        <w:pStyle w:val="Footnotesection"/>
      </w:pPr>
      <w:r>
        <w:tab/>
        <w:t xml:space="preserve">[Section 13 amended by No. 6 of 1993 s. 11; No. 49 of 1996 s. 64; No. 77 of 2006 s. 4.] </w:t>
      </w:r>
    </w:p>
    <w:p>
      <w:pPr>
        <w:pStyle w:val="Heading5"/>
        <w:rPr>
          <w:snapToGrid w:val="0"/>
        </w:rPr>
      </w:pPr>
      <w:bookmarkStart w:id="67" w:name="_Toc410721718"/>
      <w:bookmarkStart w:id="68" w:name="_Toc18308851"/>
      <w:bookmarkStart w:id="69" w:name="_Toc18920895"/>
      <w:bookmarkStart w:id="70" w:name="_Toc157831124"/>
      <w:bookmarkStart w:id="71" w:name="_Toc180922748"/>
      <w:r>
        <w:rPr>
          <w:rStyle w:val="CharSectno"/>
        </w:rPr>
        <w:t>14</w:t>
      </w:r>
      <w:r>
        <w:rPr>
          <w:snapToGrid w:val="0"/>
        </w:rPr>
        <w:t>.</w:t>
      </w:r>
      <w:r>
        <w:rPr>
          <w:snapToGrid w:val="0"/>
        </w:rPr>
        <w:tab/>
        <w:t>Power of entry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72" w:name="_Toc410721719"/>
      <w:bookmarkStart w:id="73" w:name="_Toc18308852"/>
      <w:bookmarkStart w:id="74" w:name="_Toc18920896"/>
      <w:bookmarkStart w:id="75" w:name="_Toc157831125"/>
      <w:bookmarkStart w:id="76" w:name="_Toc180922749"/>
      <w:r>
        <w:rPr>
          <w:rStyle w:val="CharSectno"/>
        </w:rPr>
        <w:t>15</w:t>
      </w:r>
      <w:r>
        <w:rPr>
          <w:snapToGrid w:val="0"/>
        </w:rPr>
        <w:t>.</w:t>
      </w:r>
      <w:r>
        <w:rPr>
          <w:snapToGrid w:val="0"/>
        </w:rPr>
        <w:tab/>
        <w:t>Vehicles or other conveyances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77" w:name="_Toc410721720"/>
      <w:bookmarkStart w:id="78" w:name="_Toc18308853"/>
      <w:bookmarkStart w:id="79" w:name="_Toc18920897"/>
      <w:bookmarkStart w:id="80" w:name="_Toc157831126"/>
      <w:bookmarkStart w:id="81" w:name="_Toc180922750"/>
      <w:r>
        <w:rPr>
          <w:rStyle w:val="CharSectno"/>
        </w:rPr>
        <w:t>16</w:t>
      </w:r>
      <w:r>
        <w:rPr>
          <w:snapToGrid w:val="0"/>
        </w:rPr>
        <w:t>.</w:t>
      </w:r>
      <w:r>
        <w:rPr>
          <w:snapToGrid w:val="0"/>
        </w:rPr>
        <w:tab/>
        <w:t>Testing, sampling, and taking specimens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82" w:name="_Toc410721721"/>
      <w:bookmarkStart w:id="83" w:name="_Toc18308854"/>
      <w:bookmarkStart w:id="84" w:name="_Toc18920898"/>
      <w:bookmarkStart w:id="85" w:name="_Toc157831127"/>
      <w:bookmarkStart w:id="86" w:name="_Toc180922751"/>
      <w:r>
        <w:rPr>
          <w:rStyle w:val="CharSectno"/>
        </w:rPr>
        <w:t>17</w:t>
      </w:r>
      <w:r>
        <w:rPr>
          <w:snapToGrid w:val="0"/>
        </w:rPr>
        <w:t>.</w:t>
      </w:r>
      <w:r>
        <w:rPr>
          <w:snapToGrid w:val="0"/>
        </w:rPr>
        <w:tab/>
        <w:t>Other powers of authorised persons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87" w:name="_Toc410721722"/>
      <w:bookmarkStart w:id="88" w:name="_Toc18308855"/>
      <w:bookmarkStart w:id="89" w:name="_Toc18920899"/>
      <w:bookmarkStart w:id="90" w:name="_Toc157831128"/>
      <w:bookmarkStart w:id="91" w:name="_Toc180922752"/>
      <w:r>
        <w:rPr>
          <w:rStyle w:val="CharSectno"/>
        </w:rPr>
        <w:t>18</w:t>
      </w:r>
      <w:r>
        <w:rPr>
          <w:snapToGrid w:val="0"/>
        </w:rPr>
        <w:t>.</w:t>
      </w:r>
      <w:r>
        <w:rPr>
          <w:snapToGrid w:val="0"/>
        </w:rPr>
        <w:tab/>
        <w:t>Tampering with samples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92" w:name="_Toc410721723"/>
      <w:bookmarkStart w:id="93" w:name="_Toc18308856"/>
      <w:bookmarkStart w:id="94" w:name="_Toc18920900"/>
      <w:bookmarkStart w:id="95" w:name="_Toc157831129"/>
      <w:bookmarkStart w:id="96" w:name="_Toc180922753"/>
      <w:r>
        <w:rPr>
          <w:rStyle w:val="CharSectno"/>
        </w:rPr>
        <w:t>19</w:t>
      </w:r>
      <w:r>
        <w:rPr>
          <w:snapToGrid w:val="0"/>
        </w:rPr>
        <w:t>.</w:t>
      </w:r>
      <w:r>
        <w:rPr>
          <w:snapToGrid w:val="0"/>
        </w:rPr>
        <w:tab/>
        <w:t>General offences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97" w:name="_Toc410721724"/>
      <w:bookmarkStart w:id="98" w:name="_Toc18308857"/>
      <w:bookmarkStart w:id="99" w:name="_Toc18920901"/>
      <w:bookmarkStart w:id="100" w:name="_Toc157831130"/>
      <w:bookmarkStart w:id="101" w:name="_Toc180922754"/>
      <w:r>
        <w:rPr>
          <w:rStyle w:val="CharSectno"/>
        </w:rPr>
        <w:t>20</w:t>
      </w:r>
      <w:r>
        <w:rPr>
          <w:snapToGrid w:val="0"/>
        </w:rPr>
        <w:t>.</w:t>
      </w:r>
      <w:r>
        <w:rPr>
          <w:snapToGrid w:val="0"/>
        </w:rPr>
        <w:tab/>
        <w:t>Appeal</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102" w:name="_Toc410721725"/>
      <w:bookmarkStart w:id="103" w:name="_Toc18308858"/>
      <w:bookmarkStart w:id="104"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105" w:name="_Toc157831131"/>
      <w:bookmarkStart w:id="106" w:name="_Toc180922755"/>
      <w:r>
        <w:rPr>
          <w:rStyle w:val="CharSectno"/>
        </w:rPr>
        <w:t>21</w:t>
      </w:r>
      <w:r>
        <w:rPr>
          <w:snapToGrid w:val="0"/>
        </w:rPr>
        <w:t>.</w:t>
      </w:r>
      <w:r>
        <w:rPr>
          <w:snapToGrid w:val="0"/>
        </w:rPr>
        <w:tab/>
        <w:t>Prosecutions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107" w:name="_Toc410721726"/>
      <w:bookmarkStart w:id="108" w:name="_Toc18308859"/>
      <w:bookmarkStart w:id="109" w:name="_Toc18920903"/>
      <w:bookmarkStart w:id="110" w:name="_Toc157831132"/>
      <w:bookmarkStart w:id="111" w:name="_Toc180922756"/>
      <w:r>
        <w:rPr>
          <w:rStyle w:val="CharSectno"/>
        </w:rPr>
        <w:t>22</w:t>
      </w:r>
      <w:r>
        <w:rPr>
          <w:snapToGrid w:val="0"/>
        </w:rPr>
        <w:t>.</w:t>
      </w:r>
      <w:r>
        <w:rPr>
          <w:snapToGrid w:val="0"/>
        </w:rPr>
        <w:tab/>
        <w:t>Evidence</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112" w:name="_Toc410721727"/>
      <w:bookmarkStart w:id="113" w:name="_Toc18308860"/>
      <w:bookmarkStart w:id="114" w:name="_Toc18920904"/>
      <w:bookmarkStart w:id="115" w:name="_Toc157831133"/>
      <w:bookmarkStart w:id="116" w:name="_Toc180922757"/>
      <w:r>
        <w:rPr>
          <w:rStyle w:val="CharSectno"/>
        </w:rPr>
        <w:t>23</w:t>
      </w:r>
      <w:r>
        <w:rPr>
          <w:snapToGrid w:val="0"/>
        </w:rPr>
        <w:t>.</w:t>
      </w:r>
      <w:r>
        <w:rPr>
          <w:snapToGrid w:val="0"/>
        </w:rPr>
        <w:tab/>
        <w:t>Seizure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117" w:name="_Toc410721728"/>
      <w:bookmarkStart w:id="118" w:name="_Toc18308861"/>
      <w:bookmarkStart w:id="119" w:name="_Toc18920905"/>
      <w:bookmarkStart w:id="120" w:name="_Toc157831134"/>
      <w:bookmarkStart w:id="121" w:name="_Toc180922758"/>
      <w:r>
        <w:rPr>
          <w:rStyle w:val="CharSectno"/>
        </w:rPr>
        <w:t>24</w:t>
      </w:r>
      <w:r>
        <w:rPr>
          <w:snapToGrid w:val="0"/>
        </w:rPr>
        <w:t>.</w:t>
      </w:r>
      <w:r>
        <w:rPr>
          <w:snapToGrid w:val="0"/>
        </w:rPr>
        <w:tab/>
        <w:t>Regulations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rStyle w:val="CharDefText"/>
        </w:rPr>
        <w:t>specified</w:t>
      </w:r>
      <w:r>
        <w:rPr>
          <w:snapToGrid w:val="0"/>
        </w:rPr>
        <w:t xml:space="preserve"> means specified in regulations.</w:t>
      </w:r>
    </w:p>
    <w:p>
      <w:pPr>
        <w:pStyle w:val="Heading5"/>
        <w:rPr>
          <w:snapToGrid w:val="0"/>
        </w:rPr>
      </w:pPr>
      <w:bookmarkStart w:id="122" w:name="_Toc410721729"/>
      <w:bookmarkStart w:id="123" w:name="_Toc18308862"/>
      <w:bookmarkStart w:id="124" w:name="_Toc18920906"/>
      <w:bookmarkStart w:id="125" w:name="_Toc157831135"/>
      <w:bookmarkStart w:id="126" w:name="_Toc180922759"/>
      <w:r>
        <w:rPr>
          <w:rStyle w:val="CharSectno"/>
        </w:rPr>
        <w:t>25</w:t>
      </w:r>
      <w:r>
        <w:rPr>
          <w:snapToGrid w:val="0"/>
        </w:rPr>
        <w:t>.</w:t>
      </w:r>
      <w:r>
        <w:rPr>
          <w:snapToGrid w:val="0"/>
        </w:rPr>
        <w:tab/>
        <w:t>Immunity</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7" w:name="_Toc92439360"/>
      <w:bookmarkStart w:id="128" w:name="_Toc157831136"/>
      <w:bookmarkStart w:id="129" w:name="_Toc180922732"/>
      <w:bookmarkStart w:id="130" w:name="_Toc180922760"/>
      <w:r>
        <w:t>Notes</w:t>
      </w:r>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1" w:name="_Toc18308863"/>
      <w:bookmarkStart w:id="132" w:name="_Toc18920907"/>
      <w:bookmarkStart w:id="133" w:name="_Toc157831137"/>
      <w:bookmarkStart w:id="134" w:name="_Toc180922761"/>
      <w:r>
        <w:rPr>
          <w:snapToGrid w:val="0"/>
        </w:rPr>
        <w:t>Compilation table</w:t>
      </w:r>
      <w:bookmarkEnd w:id="131"/>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sz w:val="19"/>
              </w:rPr>
              <w:t>State Administrative Tribunal (Conferral of Jurisdiction) Amendment and Repeal Act 2004</w:t>
            </w:r>
            <w:r>
              <w:rPr>
                <w:sz w:val="19"/>
              </w:rPr>
              <w:t xml:space="preserve"> Pt. 2 Div. 4</w:t>
            </w:r>
            <w:r>
              <w:rPr>
                <w:sz w:val="19"/>
                <w:vertAlign w:val="superscript"/>
              </w:rPr>
              <w:t> 2</w:t>
            </w:r>
          </w:p>
        </w:tc>
        <w:tc>
          <w:tcPr>
            <w:tcW w:w="1134" w:type="dxa"/>
          </w:tcPr>
          <w:p>
            <w:pPr>
              <w:pStyle w:val="nTable"/>
              <w:spacing w:before="80"/>
            </w:pPr>
            <w:r>
              <w:rPr>
                <w:sz w:val="19"/>
              </w:rPr>
              <w:t>55 of 2004</w:t>
            </w:r>
          </w:p>
        </w:tc>
        <w:tc>
          <w:tcPr>
            <w:tcW w:w="1134" w:type="dxa"/>
          </w:tcPr>
          <w:p>
            <w:pPr>
              <w:pStyle w:val="nTable"/>
              <w:spacing w:before="80"/>
            </w:pPr>
            <w:r>
              <w:rPr>
                <w:sz w:val="19"/>
              </w:rPr>
              <w:t>24 Nov 2004</w:t>
            </w:r>
          </w:p>
        </w:tc>
        <w:tc>
          <w:tcPr>
            <w:tcW w:w="2551" w:type="dxa"/>
          </w:tcPr>
          <w:p>
            <w:pPr>
              <w:pStyle w:val="nTable"/>
              <w:spacing w:before="80"/>
            </w:pPr>
            <w:r>
              <w:rPr>
                <w:sz w:val="19"/>
              </w:rPr>
              <w:t xml:space="preserve">1 Jan 2005 (see s. 2 and </w:t>
            </w:r>
            <w:r>
              <w:rPr>
                <w:i/>
                <w:sz w:val="19"/>
              </w:rPr>
              <w:t>Gazette</w:t>
            </w:r>
            <w:r>
              <w:rPr>
                <w:sz w:val="19"/>
              </w:rPr>
              <w:t xml:space="preserve"> 31 Dec 2004 p. 7130)</w:t>
            </w:r>
          </w:p>
        </w:tc>
      </w:tr>
      <w:tr>
        <w:tc>
          <w:tcPr>
            <w:tcW w:w="2273" w:type="dxa"/>
            <w:tcBorders>
              <w:bottom w:val="single" w:sz="4" w:space="0" w:color="auto"/>
            </w:tcBorders>
          </w:tcPr>
          <w:p>
            <w:pPr>
              <w:pStyle w:val="nTable"/>
              <w:spacing w:before="80"/>
              <w:rPr>
                <w:i/>
                <w:sz w:val="19"/>
              </w:rPr>
            </w:pPr>
            <w:r>
              <w:rPr>
                <w:i/>
                <w:snapToGrid w:val="0"/>
                <w:sz w:val="19"/>
                <w:lang w:val="en-US"/>
              </w:rPr>
              <w:t>Financial Legislation Amendment and Repeal Act 2006</w:t>
            </w:r>
            <w:r>
              <w:rPr>
                <w:iCs/>
                <w:snapToGrid w:val="0"/>
                <w:sz w:val="19"/>
                <w:lang w:val="en-US"/>
              </w:rPr>
              <w:t xml:space="preserve"> s. 4</w:t>
            </w:r>
          </w:p>
        </w:tc>
        <w:tc>
          <w:tcPr>
            <w:tcW w:w="1134" w:type="dxa"/>
            <w:tcBorders>
              <w:bottom w:val="single" w:sz="4" w:space="0" w:color="auto"/>
            </w:tcBorders>
          </w:tcPr>
          <w:p>
            <w:pPr>
              <w:pStyle w:val="nTable"/>
              <w:spacing w:before="80"/>
              <w:rPr>
                <w:sz w:val="19"/>
              </w:rPr>
            </w:pPr>
            <w:r>
              <w:rPr>
                <w:snapToGrid w:val="0"/>
                <w:sz w:val="19"/>
                <w:lang w:val="en-US"/>
              </w:rPr>
              <w:t>77 of 2006</w:t>
            </w:r>
          </w:p>
        </w:tc>
        <w:tc>
          <w:tcPr>
            <w:tcW w:w="1134" w:type="dxa"/>
            <w:tcBorders>
              <w:bottom w:val="single" w:sz="4" w:space="0" w:color="auto"/>
            </w:tcBorders>
          </w:tcPr>
          <w:p>
            <w:pPr>
              <w:pStyle w:val="nTable"/>
              <w:spacing w:before="80"/>
              <w:rPr>
                <w:sz w:val="19"/>
              </w:rPr>
            </w:pPr>
            <w:r>
              <w:rPr>
                <w:snapToGrid w:val="0"/>
                <w:sz w:val="19"/>
                <w:lang w:val="en-US"/>
              </w:rPr>
              <w:t>21 Dec 2006</w:t>
            </w:r>
          </w:p>
        </w:tc>
        <w:tc>
          <w:tcPr>
            <w:tcW w:w="2551" w:type="dxa"/>
            <w:tcBorders>
              <w:bottom w:val="single" w:sz="4" w:space="0" w:color="auto"/>
            </w:tcBorders>
          </w:tcPr>
          <w:p>
            <w:pPr>
              <w:pStyle w:val="nTable"/>
              <w:spacing w:before="8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 w:name="_Toc7405065"/>
      <w:bookmarkStart w:id="136" w:name="_Toc180922762"/>
      <w:r>
        <w:t>Provisions that have not come into operation</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4" w:space="0" w:color="auto"/>
            </w:tcBorders>
          </w:tcPr>
          <w:p>
            <w:pPr>
              <w:pStyle w:val="nTable"/>
              <w:spacing w:before="80"/>
              <w:rPr>
                <w:vertAlign w:val="superscript"/>
              </w:rPr>
            </w:pPr>
            <w:r>
              <w:rPr>
                <w:i/>
                <w:snapToGrid w:val="0"/>
                <w:sz w:val="19"/>
                <w:lang w:val="en-US"/>
              </w:rPr>
              <w:t>Biosecurity and Agriculture Management (Repeal and Consequential Provisions) Act 2007</w:t>
            </w:r>
            <w:r>
              <w:rPr>
                <w:iCs/>
                <w:snapToGrid w:val="0"/>
                <w:sz w:val="19"/>
                <w:lang w:val="en-US"/>
              </w:rPr>
              <w:t xml:space="preserve"> s. 20 </w:t>
            </w:r>
            <w:r>
              <w:rPr>
                <w:iCs/>
                <w:snapToGrid w:val="0"/>
                <w:sz w:val="19"/>
                <w:vertAlign w:val="superscript"/>
                <w:lang w:val="en-US"/>
              </w:rPr>
              <w:t>3</w:t>
            </w:r>
          </w:p>
        </w:tc>
        <w:tc>
          <w:tcPr>
            <w:tcW w:w="1134" w:type="dxa"/>
            <w:tcBorders>
              <w:top w:val="single" w:sz="8" w:space="0" w:color="auto"/>
              <w:bottom w:val="single" w:sz="4" w:space="0" w:color="auto"/>
            </w:tcBorders>
          </w:tcPr>
          <w:p>
            <w:pPr>
              <w:pStyle w:val="nTable"/>
              <w:spacing w:before="80"/>
            </w:pPr>
            <w:r>
              <w:rPr>
                <w:snapToGrid w:val="0"/>
                <w:sz w:val="19"/>
                <w:lang w:val="en-US"/>
              </w:rPr>
              <w:t>24 of 2007</w:t>
            </w:r>
          </w:p>
        </w:tc>
        <w:tc>
          <w:tcPr>
            <w:tcW w:w="1134" w:type="dxa"/>
            <w:tcBorders>
              <w:top w:val="single" w:sz="8" w:space="0" w:color="auto"/>
              <w:bottom w:val="single" w:sz="4" w:space="0" w:color="auto"/>
            </w:tcBorders>
          </w:tcPr>
          <w:p>
            <w:pPr>
              <w:pStyle w:val="nTable"/>
              <w:spacing w:before="80"/>
            </w:pPr>
            <w:r>
              <w:rPr>
                <w:snapToGrid w:val="0"/>
                <w:sz w:val="19"/>
                <w:lang w:val="en-US"/>
              </w:rPr>
              <w:t>12 Oct 2007</w:t>
            </w:r>
          </w:p>
        </w:tc>
        <w:tc>
          <w:tcPr>
            <w:tcW w:w="2551" w:type="dxa"/>
            <w:tcBorders>
              <w:top w:val="single" w:sz="8" w:space="0" w:color="auto"/>
              <w:bottom w:val="single" w:sz="4" w:space="0" w:color="auto"/>
            </w:tcBorders>
          </w:tcPr>
          <w:p>
            <w:pPr>
              <w:pStyle w:val="nTable"/>
              <w:spacing w:before="80"/>
            </w:pPr>
            <w:r>
              <w:rPr>
                <w:snapToGrid w:val="0"/>
                <w:sz w:val="19"/>
                <w:lang w:val="en-US"/>
              </w:rPr>
              <w:t>To be proclaimed (s. 2(2))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20 </w:t>
      </w:r>
      <w:r>
        <w:rPr>
          <w:snapToGrid w:val="0"/>
        </w:rPr>
        <w:t>had not come into operation.  It reads as follows:</w:t>
      </w:r>
    </w:p>
    <w:p>
      <w:pPr>
        <w:pStyle w:val="MiscOpen"/>
        <w:keepNext w:val="0"/>
        <w:spacing w:before="60"/>
        <w:rPr>
          <w:sz w:val="20"/>
        </w:rPr>
      </w:pPr>
      <w:r>
        <w:rPr>
          <w:sz w:val="20"/>
        </w:rPr>
        <w:t>“</w:t>
      </w:r>
    </w:p>
    <w:p>
      <w:pPr>
        <w:pStyle w:val="nzHeading5"/>
      </w:pPr>
      <w:bookmarkStart w:id="137" w:name="_Toc117571207"/>
      <w:bookmarkStart w:id="138" w:name="_Toc179685615"/>
      <w:bookmarkStart w:id="139" w:name="_Toc180227113"/>
      <w:r>
        <w:rPr>
          <w:rStyle w:val="CharSectno"/>
        </w:rPr>
        <w:t>20</w:t>
      </w:r>
      <w:r>
        <w:t>.</w:t>
      </w:r>
      <w:r>
        <w:tab/>
        <w:t>Repeal</w:t>
      </w:r>
      <w:bookmarkEnd w:id="137"/>
      <w:bookmarkEnd w:id="138"/>
      <w:bookmarkEnd w:id="139"/>
    </w:p>
    <w:p>
      <w:pPr>
        <w:pStyle w:val="nzSubsection"/>
      </w:pPr>
      <w:r>
        <w:tab/>
      </w:r>
      <w:r>
        <w:tab/>
        <w:t xml:space="preserve">The </w:t>
      </w:r>
      <w:r>
        <w:rPr>
          <w:i/>
          <w:iCs/>
        </w:rPr>
        <w:t>Agricultural Produce (Chemical Residues) Act 1983</w:t>
      </w:r>
      <w:r>
        <w:t xml:space="preserve"> is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59"/>
    <w:docVar w:name="WAFER_20151204115059" w:val="RemoveTrackChanges"/>
    <w:docVar w:name="WAFER_20151204115059_GUID" w:val="b12b0a35-f1eb-4e10-8342-942f50206d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5746</Words>
  <Characters>27701</Characters>
  <Application>Microsoft Office Word</Application>
  <DocSecurity>0</DocSecurity>
  <Lines>748</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1983 - 01-d0-04</dc:title>
  <dc:subject/>
  <dc:creator/>
  <cp:keywords/>
  <dc:description/>
  <cp:lastModifiedBy>svcMRProcess</cp:lastModifiedBy>
  <cp:revision>4</cp:revision>
  <cp:lastPrinted>2002-09-05T08:14:00Z</cp:lastPrinted>
  <dcterms:created xsi:type="dcterms:W3CDTF">2015-12-04T11:49:00Z</dcterms:created>
  <dcterms:modified xsi:type="dcterms:W3CDTF">2015-12-04T11:49:00Z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14</vt:i4>
  </property>
  <property fmtid="{D5CDD505-2E9C-101B-9397-08002B2CF9AE}" pid="6" name="AsAtDate">
    <vt:lpwstr>12 Oct 2007</vt:lpwstr>
  </property>
  <property fmtid="{D5CDD505-2E9C-101B-9397-08002B2CF9AE}" pid="7" name="Suffix">
    <vt:lpwstr>01-d0-04</vt:lpwstr>
  </property>
</Properties>
</file>