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_Toc181498080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_Toc181498081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_Toc181498082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_Toc181498083 \h </w:instrText>
      </w:r>
      <w:r>
        <w:fldChar w:fldCharType="separate"/>
      </w:r>
      <w:r>
        <w:t>1</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_Toc181498084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_Toc181498085 \h </w:instrText>
      </w:r>
      <w:r>
        <w:fldChar w:fldCharType="separate"/>
      </w:r>
      <w:r>
        <w:t>6</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_Toc181498086 \h </w:instrText>
      </w:r>
      <w:r>
        <w:fldChar w:fldCharType="separate"/>
      </w:r>
      <w:r>
        <w:t>6</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_Toc181498087 \h </w:instrText>
      </w:r>
      <w:r>
        <w:fldChar w:fldCharType="separate"/>
      </w:r>
      <w:r>
        <w:t>7</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_Toc181498088 \h </w:instrText>
      </w:r>
      <w:r>
        <w:fldChar w:fldCharType="separate"/>
      </w:r>
      <w:r>
        <w:t>7</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_Toc181498089 \h </w:instrText>
      </w:r>
      <w:r>
        <w:fldChar w:fldCharType="separate"/>
      </w:r>
      <w:r>
        <w:t>7</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_Toc181498090 \h </w:instrText>
      </w:r>
      <w:r>
        <w:fldChar w:fldCharType="separate"/>
      </w:r>
      <w:r>
        <w:t>7</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_Toc181498091 \h </w:instrText>
      </w:r>
      <w:r>
        <w:fldChar w:fldCharType="separate"/>
      </w:r>
      <w:r>
        <w:t>7</w:t>
      </w:r>
      <w:r>
        <w:fldChar w:fldCharType="end"/>
      </w:r>
    </w:p>
    <w:p>
      <w:pPr>
        <w:pStyle w:val="TOC8"/>
        <w:rPr>
          <w:sz w:val="24"/>
          <w:szCs w:val="24"/>
        </w:rPr>
      </w:pPr>
      <w:r>
        <w:rPr>
          <w:szCs w:val="24"/>
        </w:rPr>
        <w:t>13.</w:t>
      </w:r>
      <w:r>
        <w:rPr>
          <w:szCs w:val="24"/>
        </w:rPr>
        <w:tab/>
        <w:t>Advertising</w:t>
      </w:r>
      <w:r>
        <w:tab/>
      </w:r>
      <w:r>
        <w:fldChar w:fldCharType="begin"/>
      </w:r>
      <w:r>
        <w:instrText xml:space="preserve"> PAGEREF _Toc181498092 \h </w:instrText>
      </w:r>
      <w:r>
        <w:fldChar w:fldCharType="separate"/>
      </w:r>
      <w:r>
        <w:t>8</w:t>
      </w:r>
      <w:r>
        <w:fldChar w:fldCharType="end"/>
      </w:r>
    </w:p>
    <w:p>
      <w:pPr>
        <w:pStyle w:val="TOC8"/>
        <w:rPr>
          <w:sz w:val="24"/>
          <w:szCs w:val="24"/>
        </w:rPr>
      </w:pPr>
      <w:r>
        <w:rPr>
          <w:szCs w:val="24"/>
        </w:rPr>
        <w:t>14.</w:t>
      </w:r>
      <w:r>
        <w:rPr>
          <w:szCs w:val="24"/>
        </w:rPr>
        <w:tab/>
        <w:t>Fees</w:t>
      </w:r>
      <w:r>
        <w:tab/>
      </w:r>
      <w:r>
        <w:fldChar w:fldCharType="begin"/>
      </w:r>
      <w:r>
        <w:instrText xml:space="preserve"> PAGEREF _Toc181498093 \h </w:instrText>
      </w:r>
      <w:r>
        <w:fldChar w:fldCharType="separate"/>
      </w:r>
      <w:r>
        <w:t>9</w:t>
      </w:r>
      <w:r>
        <w:fldChar w:fldCharType="end"/>
      </w:r>
    </w:p>
    <w:p>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_Toc181498094 \h </w:instrText>
      </w:r>
      <w:r>
        <w:fldChar w:fldCharType="separate"/>
      </w:r>
      <w:r>
        <w:t>9</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_Toc181498095 \h </w:instrText>
      </w:r>
      <w:r>
        <w:fldChar w:fldCharType="separate"/>
      </w:r>
      <w:r>
        <w:t>9</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szCs w:val="28"/>
        </w:rPr>
        <w:t>Mutual Recognition (Western Australia) Act 2001</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_Toc181498100 \h </w:instrText>
      </w:r>
      <w:r>
        <w:fldChar w:fldCharType="separate"/>
      </w:r>
      <w:r>
        <w:t>14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18149808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18149808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181498082"/>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181498083"/>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181498084"/>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bl>
    <w:p>
      <w:pPr>
        <w:pStyle w:val="Subsection"/>
      </w:pPr>
      <w:r>
        <w:tab/>
        <w:t>(3)</w:t>
      </w:r>
      <w:r>
        <w:tab/>
        <w:t>For the purposes of the Act section 27(2)(f), a physiotherapy qualification accredited by the Accreditation Council for Canadian Physiotherapy Academic Programs between 1 April 2000 and the day on which these regulations come into operation is prescribed as a qualification for registration as a physiotherapist.</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w:t>
      </w:r>
    </w:p>
    <w:p>
      <w:pPr>
        <w:pStyle w:val="Heading5"/>
      </w:pPr>
      <w:bookmarkStart w:id="28" w:name="_Toc153860406"/>
      <w:bookmarkStart w:id="29" w:name="_Toc181498085"/>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181498086"/>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181498087"/>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181498088"/>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181498089"/>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181498090"/>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181498091"/>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181498092"/>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181498093"/>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181498094"/>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181498095"/>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r>
        <w:rPr>
          <w:rStyle w:val="CharSchNo"/>
        </w:rPr>
        <w:t>Schedule 1</w:t>
      </w:r>
      <w:r>
        <w:rPr>
          <w:rStyle w:val="CharSDivNo"/>
        </w:rPr>
        <w:t> </w:t>
      </w:r>
      <w:r>
        <w:t>—</w:t>
      </w:r>
      <w:bookmarkStart w:id="103" w:name="AutoSch"/>
      <w:bookmarkEnd w:id="103"/>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04" w:name="_Toc153704229"/>
      <w:bookmarkStart w:id="105" w:name="_Toc153704597"/>
      <w:bookmarkStart w:id="106" w:name="_Toc153704747"/>
      <w:bookmarkStart w:id="107" w:name="_Toc153704766"/>
      <w:bookmarkStart w:id="108" w:name="_Toc153770852"/>
      <w:bookmarkStart w:id="109" w:name="_Toc153847810"/>
      <w:bookmarkStart w:id="110" w:name="_Toc153850834"/>
      <w:bookmarkStart w:id="111" w:name="_Toc153860418"/>
      <w:bookmarkStart w:id="112" w:name="_Toc159748503"/>
      <w:bookmarkStart w:id="113" w:name="_Toc181434884"/>
      <w:bookmarkStart w:id="114" w:name="_Toc181434926"/>
      <w:bookmarkStart w:id="115" w:name="_Toc181498097"/>
      <w:bookmarkStart w:id="116" w:name="_Toc129573084"/>
      <w:bookmarkStart w:id="117" w:name="_Toc129574125"/>
      <w:bookmarkStart w:id="118" w:name="_Toc129574142"/>
      <w:bookmarkStart w:id="119" w:name="_Toc129574310"/>
      <w:bookmarkStart w:id="120" w:name="_Toc129574945"/>
      <w:bookmarkStart w:id="121" w:name="_Toc129588692"/>
      <w:bookmarkStart w:id="122" w:name="_Toc129594457"/>
      <w:bookmarkStart w:id="123" w:name="_Toc129653865"/>
      <w:bookmarkStart w:id="124" w:name="_Toc129653904"/>
      <w:bookmarkStart w:id="125" w:name="_Toc129686702"/>
      <w:bookmarkStart w:id="126" w:name="_Toc129755983"/>
      <w:bookmarkStart w:id="127" w:name="_Toc129759181"/>
      <w:bookmarkStart w:id="128" w:name="_Toc129759459"/>
      <w:bookmarkStart w:id="129" w:name="_Toc131569474"/>
      <w:bookmarkStart w:id="130" w:name="_Toc135616732"/>
      <w:bookmarkStart w:id="131" w:name="_Toc135618141"/>
      <w:bookmarkStart w:id="132" w:name="_Toc136325393"/>
      <w:bookmarkStart w:id="133" w:name="_Toc136325412"/>
      <w:bookmarkStart w:id="134" w:name="_Toc136325446"/>
      <w:bookmarkStart w:id="135" w:name="_Toc136758365"/>
      <w:bookmarkStart w:id="136" w:name="_Toc136758563"/>
      <w:bookmarkStart w:id="137" w:name="_Toc136829282"/>
      <w:bookmarkStart w:id="138" w:name="_Toc136831127"/>
      <w:bookmarkStart w:id="139" w:name="_Toc136831148"/>
      <w:bookmarkStart w:id="140" w:name="_Toc136831272"/>
      <w:bookmarkStart w:id="141" w:name="_Toc143409470"/>
      <w:bookmarkStart w:id="142" w:name="_Toc143415729"/>
      <w:bookmarkStart w:id="143" w:name="_Toc143477234"/>
      <w:bookmarkStart w:id="144" w:name="_Toc143479360"/>
      <w:bookmarkStart w:id="145" w:name="_Toc150155212"/>
      <w:bookmarkStart w:id="146" w:name="_Toc150155229"/>
      <w:bookmarkStart w:id="147" w:name="_Toc150155306"/>
      <w:bookmarkStart w:id="148" w:name="_Toc150160539"/>
      <w:bookmarkStart w:id="149" w:name="_Toc150225160"/>
      <w:bookmarkStart w:id="150" w:name="_Toc150225183"/>
      <w:bookmarkStart w:id="151" w:name="_Toc150227223"/>
      <w:bookmarkStart w:id="152" w:name="_Toc150227392"/>
      <w:bookmarkStart w:id="153" w:name="_Toc150227721"/>
      <w:bookmarkStart w:id="154" w:name="_Toc150227775"/>
      <w:bookmarkStart w:id="155" w:name="_Toc150237238"/>
      <w:bookmarkStart w:id="156" w:name="_Toc150237452"/>
      <w:bookmarkStart w:id="157" w:name="_Toc150237516"/>
      <w:bookmarkStart w:id="158" w:name="_Toc150237651"/>
      <w:bookmarkStart w:id="159" w:name="_Toc152394012"/>
      <w:bookmarkStart w:id="160" w:name="_Toc152396653"/>
      <w:bookmarkStart w:id="161" w:name="_Toc152397321"/>
      <w:bookmarkStart w:id="162" w:name="_Toc152397389"/>
      <w:bookmarkStart w:id="163" w:name="_Toc152397411"/>
      <w:bookmarkStart w:id="164" w:name="_Toc152410704"/>
      <w:bookmarkStart w:id="165" w:name="_Toc152410756"/>
      <w:bookmarkStart w:id="166" w:name="_Toc152410795"/>
      <w:bookmarkStart w:id="167" w:name="_Toc152411013"/>
      <w:bookmarkStart w:id="168" w:name="_Toc152555135"/>
      <w:bookmarkStart w:id="169" w:name="_Toc152555168"/>
      <w:bookmarkStart w:id="170" w:name="_Toc152562071"/>
      <w:bookmarkStart w:id="171" w:name="_Toc153694055"/>
      <w:bookmarkStart w:id="172" w:name="_Toc153701083"/>
      <w:bookmarkStart w:id="173" w:name="_Toc153701135"/>
      <w:bookmarkStart w:id="174"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04"/>
      <w:bookmarkEnd w:id="105"/>
      <w:bookmarkEnd w:id="106"/>
      <w:bookmarkEnd w:id="107"/>
      <w:bookmarkEnd w:id="108"/>
      <w:bookmarkEnd w:id="109"/>
      <w:bookmarkEnd w:id="110"/>
      <w:bookmarkEnd w:id="111"/>
      <w:bookmarkEnd w:id="112"/>
      <w:bookmarkEnd w:id="113"/>
      <w:bookmarkEnd w:id="114"/>
      <w:bookmarkEnd w:id="115"/>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175" w:name="_Toc152396654"/>
      <w:bookmarkStart w:id="176" w:name="_Toc152397322"/>
      <w:bookmarkStart w:id="177" w:name="_Toc152397390"/>
      <w:bookmarkStart w:id="178" w:name="_Toc152397412"/>
      <w:bookmarkStart w:id="179" w:name="_Toc152410705"/>
      <w:bookmarkStart w:id="180" w:name="_Toc152410757"/>
      <w:bookmarkStart w:id="181" w:name="_Toc152410796"/>
      <w:bookmarkStart w:id="182" w:name="_Toc152411014"/>
      <w:bookmarkStart w:id="183" w:name="_Toc152555136"/>
      <w:bookmarkStart w:id="184" w:name="_Toc152555169"/>
      <w:bookmarkStart w:id="185" w:name="_Toc152562072"/>
      <w:bookmarkStart w:id="186" w:name="_Toc153694056"/>
      <w:bookmarkStart w:id="187" w:name="_Toc153701084"/>
      <w:bookmarkStart w:id="188" w:name="_Toc153701136"/>
      <w:bookmarkStart w:id="189" w:name="_Toc153701201"/>
      <w:bookmarkStart w:id="190" w:name="_Toc153704172"/>
      <w:bookmarkStart w:id="191" w:name="_Toc153704230"/>
      <w:bookmarkStart w:id="192" w:name="_Toc153704598"/>
      <w:bookmarkStart w:id="193" w:name="_Toc153704748"/>
      <w:bookmarkStart w:id="194" w:name="_Toc153704767"/>
      <w:bookmarkStart w:id="195" w:name="_Toc153770853"/>
      <w:bookmarkStart w:id="196" w:name="_Toc153847811"/>
      <w:bookmarkStart w:id="197" w:name="_Toc153850835"/>
      <w:bookmarkStart w:id="198" w:name="_Toc153860419"/>
      <w:bookmarkStart w:id="199" w:name="_Toc159748504"/>
      <w:bookmarkStart w:id="200" w:name="_Toc181434885"/>
      <w:bookmarkStart w:id="201" w:name="_Toc181434927"/>
      <w:bookmarkStart w:id="202" w:name="_Toc181498098"/>
      <w:r>
        <w:rPr>
          <w:rStyle w:val="CharSchNo"/>
        </w:rPr>
        <w:t>Schedule 3</w:t>
      </w:r>
      <w:r>
        <w:rPr>
          <w:rStyle w:val="CharSDivNo"/>
        </w:rPr>
        <w:t> </w:t>
      </w:r>
      <w:r>
        <w:t>—</w:t>
      </w:r>
      <w:r>
        <w:rPr>
          <w:rStyle w:val="CharSDivText"/>
        </w:rPr>
        <w:t> </w:t>
      </w:r>
      <w:r>
        <w:rPr>
          <w:rStyle w:val="CharSchText"/>
        </w:rPr>
        <w:t>Fee for examination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6(3)]</w:t>
      </w:r>
    </w:p>
    <w:p>
      <w:pPr>
        <w:pStyle w:val="ySubsection"/>
        <w:rPr>
          <w:spacing w:val="-2"/>
        </w:rPr>
      </w:pPr>
      <w:r>
        <w:t>The fee to sit an examination is $275.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03" w:name="_Toc113695922"/>
      <w:bookmarkStart w:id="204" w:name="_Toc156374179"/>
      <w:bookmarkStart w:id="205" w:name="_Toc156375436"/>
    </w:p>
    <w:p>
      <w:pPr>
        <w:pStyle w:val="nHeading2"/>
      </w:pPr>
      <w:bookmarkStart w:id="206" w:name="_Toc159748505"/>
      <w:bookmarkStart w:id="207" w:name="_Toc181434886"/>
      <w:bookmarkStart w:id="208" w:name="_Toc181434928"/>
      <w:bookmarkStart w:id="209" w:name="_Toc181498099"/>
      <w:r>
        <w:t>Notes</w:t>
      </w:r>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rPr>
          <w:snapToGrid w:val="0"/>
        </w:rPr>
        <w:t xml:space="preserve"> and includes the amendments made by the other written laws referred to in the following table.</w:t>
      </w:r>
    </w:p>
    <w:p>
      <w:pPr>
        <w:pStyle w:val="nHeading3"/>
      </w:pPr>
      <w:bookmarkStart w:id="210" w:name="_Toc70311430"/>
      <w:bookmarkStart w:id="211" w:name="_Toc113695923"/>
      <w:bookmarkStart w:id="212" w:name="_Toc181498100"/>
      <w:r>
        <w:t>Compilation table</w:t>
      </w:r>
      <w:bookmarkEnd w:id="210"/>
      <w:bookmarkEnd w:id="211"/>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single" w:sz="4" w:space="0" w:color="auto"/>
            </w:tcBorders>
          </w:tcPr>
          <w:p>
            <w:pPr>
              <w:pStyle w:val="nTable"/>
              <w:spacing w:after="40"/>
              <w:rPr>
                <w:i/>
                <w:sz w:val="19"/>
              </w:rPr>
            </w:pPr>
            <w:r>
              <w:rPr>
                <w:i/>
                <w:sz w:val="19"/>
              </w:rPr>
              <w:t>Physiotherapists Amendment Regulations 2007</w:t>
            </w:r>
          </w:p>
        </w:tc>
        <w:tc>
          <w:tcPr>
            <w:tcW w:w="1276" w:type="dxa"/>
            <w:tcBorders>
              <w:top w:val="nil"/>
              <w:bottom w:val="single" w:sz="4" w:space="0" w:color="auto"/>
            </w:tcBorders>
          </w:tcPr>
          <w:p>
            <w:pPr>
              <w:pStyle w:val="nTable"/>
              <w:spacing w:after="40"/>
              <w:rPr>
                <w:sz w:val="19"/>
              </w:rPr>
            </w:pPr>
            <w:r>
              <w:rPr>
                <w:sz w:val="19"/>
              </w:rPr>
              <w:t>30 Oct 2007 p. 5881</w:t>
            </w:r>
            <w:r>
              <w:rPr>
                <w:sz w:val="19"/>
              </w:rPr>
              <w:noBreakHyphen/>
              <w:t>2</w:t>
            </w:r>
          </w:p>
        </w:tc>
        <w:tc>
          <w:tcPr>
            <w:tcW w:w="2693" w:type="dxa"/>
            <w:tcBorders>
              <w:top w:val="nil"/>
              <w:bottom w:val="single" w:sz="4" w:space="0" w:color="auto"/>
            </w:tcBorders>
          </w:tcPr>
          <w:p>
            <w:pPr>
              <w:pStyle w:val="nTable"/>
              <w:spacing w:after="40"/>
              <w:rPr>
                <w:sz w:val="19"/>
              </w:rPr>
            </w:pPr>
            <w:r>
              <w:rPr>
                <w:sz w:val="19"/>
              </w:rPr>
              <w:t>r. 1 and 2: 30 Oct 2007 (see </w:t>
            </w:r>
            <w:bookmarkStart w:id="213" w:name="UpToHere"/>
            <w:bookmarkEnd w:id="213"/>
            <w:r>
              <w:rPr>
                <w:sz w:val="19"/>
              </w:rPr>
              <w:t>r. 2(a));</w:t>
            </w:r>
            <w:r>
              <w:rPr>
                <w:sz w:val="19"/>
              </w:rPr>
              <w:br/>
              <w:t>Regulations other than r. 1 and 2: 31 Oct 2007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19"/>
    <w:docVar w:name="WAFER_20151208160019" w:val="RemoveTrackChanges"/>
    <w:docVar w:name="WAFER_20151208160019_GUID" w:val="9252f27f-c233-497d-afe7-36a787899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2519</Words>
  <Characters>13653</Characters>
  <Application>Microsoft Office Word</Application>
  <DocSecurity>0</DocSecurity>
  <Lines>620</Lines>
  <Paragraphs>330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2006 - 00-c0-03</dc:title>
  <dc:subject/>
  <dc:creator/>
  <cp:keywords/>
  <dc:description/>
  <cp:lastModifiedBy>svcMRProcess</cp:lastModifiedBy>
  <cp:revision>4</cp:revision>
  <cp:lastPrinted>2006-12-14T03:51:00Z</cp:lastPrinted>
  <dcterms:created xsi:type="dcterms:W3CDTF">2015-12-12T04:39:00Z</dcterms:created>
  <dcterms:modified xsi:type="dcterms:W3CDTF">2015-12-12T04:39:00Z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39275</vt:i4>
  </property>
  <property fmtid="{D5CDD505-2E9C-101B-9397-08002B2CF9AE}" pid="6" name="AsAtDate">
    <vt:lpwstr>31 Oct 2007</vt:lpwstr>
  </property>
  <property fmtid="{D5CDD505-2E9C-101B-9397-08002B2CF9AE}" pid="7" name="Suffix">
    <vt:lpwstr>00-c0-03</vt:lpwstr>
  </property>
</Properties>
</file>