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Inheritance (Family and Dependants Provision)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Inheritance (Family and Dependants Provision) Act 1972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_Toc181503345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_Toc181503346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 and amendments</w:t>
      </w:r>
      <w:r>
        <w:tab/>
      </w:r>
      <w:r>
        <w:fldChar w:fldCharType="begin"/>
      </w:r>
      <w:r>
        <w:instrText xml:space="preserve"> PAGEREF _Toc181503347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_Toc181503348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Application</w:t>
      </w:r>
      <w:r>
        <w:tab/>
      </w:r>
      <w:r>
        <w:fldChar w:fldCharType="begin"/>
      </w:r>
      <w:r>
        <w:instrText xml:space="preserve"> PAGEREF _Toc181503349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Claims against estate of deceased person</w:t>
      </w:r>
      <w:r>
        <w:tab/>
      </w:r>
      <w:r>
        <w:fldChar w:fldCharType="begin"/>
      </w:r>
      <w:r>
        <w:instrText xml:space="preserve"> PAGEREF _Toc181503350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Persons entitled to claim</w:t>
      </w:r>
      <w:r>
        <w:tab/>
      </w:r>
      <w:r>
        <w:fldChar w:fldCharType="begin"/>
      </w:r>
      <w:r>
        <w:instrText xml:space="preserve"> PAGEREF _Toc181503351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Orders after distribution</w:t>
      </w:r>
      <w:r>
        <w:tab/>
      </w:r>
      <w:r>
        <w:fldChar w:fldCharType="begin"/>
      </w:r>
      <w:r>
        <w:instrText xml:space="preserve"> PAGEREF _Toc181503352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Order not to be inequitable as regards assets already distributed</w:t>
      </w:r>
      <w:r>
        <w:tab/>
      </w:r>
      <w:r>
        <w:fldChar w:fldCharType="begin"/>
      </w:r>
      <w:r>
        <w:instrText xml:space="preserve"> PAGEREF _Toc181503353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Order to take effect as codicil or as a devolution on intestacy</w:t>
      </w:r>
      <w:r>
        <w:tab/>
      </w:r>
      <w:r>
        <w:fldChar w:fldCharType="begin"/>
      </w:r>
      <w:r>
        <w:instrText xml:space="preserve"> PAGEREF _Toc181503354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Power of Administrator to distribute where immediately necessary</w:t>
      </w:r>
      <w:r>
        <w:tab/>
      </w:r>
      <w:r>
        <w:fldChar w:fldCharType="begin"/>
      </w:r>
      <w:r>
        <w:instrText xml:space="preserve"> PAGEREF _Toc181503355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Procedure</w:t>
      </w:r>
      <w:r>
        <w:tab/>
      </w:r>
      <w:r>
        <w:fldChar w:fldCharType="begin"/>
      </w:r>
      <w:r>
        <w:instrText xml:space="preserve"> PAGEREF _Toc181503356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Provision for class fund</w:t>
      </w:r>
      <w:r>
        <w:tab/>
      </w:r>
      <w:r>
        <w:fldChar w:fldCharType="begin"/>
      </w:r>
      <w:r>
        <w:instrText xml:space="preserve"> PAGEREF _Toc181503357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Terms of the order</w:t>
      </w:r>
      <w:r>
        <w:tab/>
      </w:r>
      <w:r>
        <w:fldChar w:fldCharType="begin"/>
      </w:r>
      <w:r>
        <w:instrText xml:space="preserve"> PAGEREF _Toc181503358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Rescission, or suspension of order and reduction of provision</w:t>
      </w:r>
      <w:r>
        <w:tab/>
      </w:r>
      <w:r>
        <w:fldChar w:fldCharType="begin"/>
      </w:r>
      <w:r>
        <w:instrText xml:space="preserve"> PAGEREF _Toc181503359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Order for increased provision</w:t>
      </w:r>
      <w:r>
        <w:tab/>
      </w:r>
      <w:r>
        <w:fldChar w:fldCharType="begin"/>
      </w:r>
      <w:r>
        <w:instrText xml:space="preserve"> PAGEREF _Toc181503360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Court may decide effect of order on property disposed of</w:t>
      </w:r>
      <w:r>
        <w:tab/>
      </w:r>
      <w:r>
        <w:fldChar w:fldCharType="begin"/>
      </w:r>
      <w:r>
        <w:instrText xml:space="preserve"> PAGEREF _Toc181503361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Appointment of Administrator by the Court</w:t>
      </w:r>
      <w:r>
        <w:tab/>
      </w:r>
      <w:r>
        <w:fldChar w:fldCharType="begin"/>
      </w:r>
      <w:r>
        <w:instrText xml:space="preserve"> PAGEREF _Toc181503362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Mortgages etc. of provision under orders</w:t>
      </w:r>
      <w:r>
        <w:tab/>
      </w:r>
      <w:r>
        <w:fldChar w:fldCharType="begin"/>
      </w:r>
      <w:r>
        <w:instrText xml:space="preserve"> PAGEREF _Toc181503363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Power of Administrator to distribute</w:t>
      </w:r>
      <w:r>
        <w:tab/>
      </w:r>
      <w:r>
        <w:fldChar w:fldCharType="begin"/>
      </w:r>
      <w:r>
        <w:instrText xml:space="preserve"> PAGEREF _Toc181503364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Rules</w:t>
      </w:r>
      <w:r>
        <w:tab/>
      </w:r>
      <w:r>
        <w:fldChar w:fldCharType="begin"/>
      </w:r>
      <w:r>
        <w:instrText xml:space="preserve"> PAGEREF _Toc181503365 \h </w:instrText>
      </w:r>
      <w:r>
        <w:fldChar w:fldCharType="separate"/>
      </w:r>
      <w:r>
        <w:t>12</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_Toc181503367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_Toc181503368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520"/>
      </w:pPr>
      <w:r>
        <w:t xml:space="preserve">Inheritance (Family and Dependants Provision) Act 1972 </w:t>
      </w:r>
    </w:p>
    <w:p>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 w:name="_Toc411234377"/>
      <w:bookmarkStart w:id="2" w:name="_Toc50191348"/>
      <w:bookmarkStart w:id="3" w:name="_Toc52092050"/>
      <w:bookmarkStart w:id="4" w:name="_Toc18150334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pPr>
        <w:pStyle w:val="Heading5"/>
        <w:rPr>
          <w:snapToGrid w:val="0"/>
        </w:rPr>
      </w:pPr>
      <w:bookmarkStart w:id="5" w:name="_Toc411234378"/>
      <w:bookmarkStart w:id="6" w:name="_Toc50191349"/>
      <w:bookmarkStart w:id="7" w:name="_Toc52092051"/>
      <w:bookmarkStart w:id="8" w:name="_Toc18150334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411234379"/>
      <w:bookmarkStart w:id="10" w:name="_Toc50191350"/>
      <w:bookmarkStart w:id="11" w:name="_Toc52092052"/>
      <w:bookmarkStart w:id="12" w:name="_Toc181503347"/>
      <w:r>
        <w:rPr>
          <w:rStyle w:val="CharSectno"/>
        </w:rPr>
        <w:t>3</w:t>
      </w:r>
      <w:r>
        <w:rPr>
          <w:snapToGrid w:val="0"/>
        </w:rPr>
        <w:t>.</w:t>
      </w:r>
      <w:r>
        <w:rPr>
          <w:snapToGrid w:val="0"/>
        </w:rPr>
        <w:tab/>
        <w:t>Repeal and amendments</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13" w:name="_Toc411234380"/>
      <w:bookmarkStart w:id="14" w:name="_Toc50191351"/>
      <w:bookmarkStart w:id="15" w:name="_Toc52092053"/>
      <w:bookmarkStart w:id="16" w:name="_Toc181503348"/>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t>“Administration”</w:t>
      </w:r>
      <w:r>
        <w:t xml:space="preserve"> has the same meaning as it has in the </w:t>
      </w:r>
      <w:r>
        <w:rPr>
          <w:i/>
        </w:rPr>
        <w:t>Administration Act 1903</w:t>
      </w:r>
      <w:r>
        <w:t>;</w:t>
      </w:r>
    </w:p>
    <w:p>
      <w:pPr>
        <w:pStyle w:val="Defstart"/>
      </w:pPr>
      <w:r>
        <w:rPr>
          <w:b/>
        </w:rPr>
        <w:tab/>
        <w:t>“Administrator”</w:t>
      </w:r>
      <w:r>
        <w:t xml:space="preserve"> means any person to whom probate of the will of a deceased person is granted, or to whom Administration is granted; and includes the Public Trustee, in any case where he is deemed to be an executor or </w:t>
      </w:r>
      <w:r>
        <w:lastRenderedPageBreak/>
        <w:t>administrator by reason of having filed an election to administer, and any Administrator appointed by direction of the Court in accordance with section 18;</w:t>
      </w:r>
    </w:p>
    <w:p>
      <w:pPr>
        <w:pStyle w:val="Defstart"/>
      </w:pPr>
      <w:r>
        <w:rPr>
          <w:b/>
        </w:rPr>
        <w:tab/>
        <w:t>“child”</w:t>
      </w:r>
      <w:r>
        <w:t xml:space="preserve"> in relation to any person or persons includes an illegitimate child;</w:t>
      </w:r>
    </w:p>
    <w:p>
      <w:pPr>
        <w:pStyle w:val="Defstart"/>
      </w:pPr>
      <w:r>
        <w:rPr>
          <w:b/>
        </w:rPr>
        <w:tab/>
        <w:t>“Court”</w:t>
      </w:r>
      <w:r>
        <w:t xml:space="preserve"> means the Supreme Court, or a Judge;</w:t>
      </w:r>
    </w:p>
    <w:p>
      <w:pPr>
        <w:pStyle w:val="Defstart"/>
      </w:pPr>
      <w:r>
        <w:rPr>
          <w:b/>
        </w:rPr>
        <w:tab/>
        <w:t>“grandchild”</w:t>
      </w:r>
      <w:r>
        <w:t xml:space="preserve"> in relation to any person or persons includes an illegitimate child of a child of that person;</w:t>
      </w:r>
    </w:p>
    <w:p>
      <w:pPr>
        <w:pStyle w:val="Defstart"/>
      </w:pPr>
      <w:r>
        <w:rPr>
          <w:b/>
        </w:rPr>
        <w:tab/>
        <w:t>“will”</w:t>
      </w:r>
      <w:r>
        <w:t xml:space="preserve"> includes a codicil and any testamentary instrument.</w:t>
      </w:r>
    </w:p>
    <w:p>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pPr>
        <w:pStyle w:val="Subsection"/>
      </w:pPr>
      <w:r>
        <w:tab/>
        <w:t>(4a)</w:t>
      </w:r>
      <w:r>
        <w:tab/>
        <w:t xml:space="preserve">Subsection (4) does not apply to or in relation to a relationship established by the </w:t>
      </w:r>
      <w:r>
        <w:rPr>
          <w:i/>
        </w:rPr>
        <w:t>Artificial Conception Act 1985</w:t>
      </w:r>
      <w:r>
        <w:t>.</w:t>
      </w:r>
    </w:p>
    <w:p>
      <w:pPr>
        <w:pStyle w:val="Footnotesection"/>
      </w:pPr>
      <w:r>
        <w:tab/>
        <w:t>[Section 4 amended by No. 3 of 2002 s. 80; No. 28 of 2003 s. 92.]</w:t>
      </w:r>
    </w:p>
    <w:p>
      <w:pPr>
        <w:pStyle w:val="Heading5"/>
        <w:rPr>
          <w:snapToGrid w:val="0"/>
        </w:rPr>
      </w:pPr>
      <w:bookmarkStart w:id="17" w:name="_Toc411234381"/>
      <w:bookmarkStart w:id="18" w:name="_Toc50191352"/>
      <w:bookmarkStart w:id="19" w:name="_Toc52092054"/>
      <w:bookmarkStart w:id="20" w:name="_Toc181503349"/>
      <w:r>
        <w:rPr>
          <w:rStyle w:val="CharSectno"/>
        </w:rPr>
        <w:t>5</w:t>
      </w:r>
      <w:r>
        <w:rPr>
          <w:snapToGrid w:val="0"/>
        </w:rPr>
        <w:t>.</w:t>
      </w:r>
      <w:r>
        <w:rPr>
          <w:snapToGrid w:val="0"/>
        </w:rPr>
        <w:tab/>
        <w:t>Application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w:t>
      </w:r>
      <w:r>
        <w:rPr>
          <w:snapToGrid w:val="0"/>
        </w:rPr>
        <w:lastRenderedPageBreak/>
        <w:t xml:space="preserve">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rPr>
          <w:snapToGrid w:val="0"/>
        </w:rPr>
      </w:pPr>
      <w:bookmarkStart w:id="21" w:name="_Toc411234382"/>
      <w:bookmarkStart w:id="22" w:name="_Toc50191353"/>
      <w:bookmarkStart w:id="23" w:name="_Toc52092055"/>
      <w:bookmarkStart w:id="24" w:name="_Toc181503350"/>
      <w:r>
        <w:rPr>
          <w:rStyle w:val="CharSectno"/>
        </w:rPr>
        <w:t>6</w:t>
      </w:r>
      <w:r>
        <w:rPr>
          <w:snapToGrid w:val="0"/>
        </w:rPr>
        <w:t>.</w:t>
      </w:r>
      <w:r>
        <w:rPr>
          <w:snapToGrid w:val="0"/>
        </w:rPr>
        <w:tab/>
        <w:t>Claims against estate of deceased person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Heading5"/>
        <w:rPr>
          <w:snapToGrid w:val="0"/>
        </w:rPr>
      </w:pPr>
      <w:bookmarkStart w:id="25" w:name="_Toc411234383"/>
      <w:bookmarkStart w:id="26" w:name="_Toc50191354"/>
      <w:bookmarkStart w:id="27" w:name="_Toc52092056"/>
      <w:bookmarkStart w:id="28" w:name="_Toc181503351"/>
      <w:r>
        <w:rPr>
          <w:rStyle w:val="CharSectno"/>
        </w:rPr>
        <w:t>7</w:t>
      </w:r>
      <w:r>
        <w:rPr>
          <w:snapToGrid w:val="0"/>
        </w:rPr>
        <w:t>.</w:t>
      </w:r>
      <w:r>
        <w:rPr>
          <w:snapToGrid w:val="0"/>
        </w:rPr>
        <w:tab/>
        <w:t>Persons entitled to claim</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w:t>
      </w:r>
    </w:p>
    <w:p>
      <w:pPr>
        <w:pStyle w:val="Heading5"/>
        <w:rPr>
          <w:snapToGrid w:val="0"/>
        </w:rPr>
      </w:pPr>
      <w:bookmarkStart w:id="29" w:name="_Toc411234384"/>
      <w:bookmarkStart w:id="30" w:name="_Toc50191355"/>
      <w:bookmarkStart w:id="31" w:name="_Toc52092057"/>
      <w:bookmarkStart w:id="32" w:name="_Toc181503352"/>
      <w:r>
        <w:rPr>
          <w:rStyle w:val="CharSectno"/>
        </w:rPr>
        <w:t>8</w:t>
      </w:r>
      <w:r>
        <w:rPr>
          <w:snapToGrid w:val="0"/>
        </w:rPr>
        <w:t>.</w:t>
      </w:r>
      <w:r>
        <w:rPr>
          <w:snapToGrid w:val="0"/>
        </w:rPr>
        <w:tab/>
        <w:t>Orders after distribution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rPr>
          <w:snapToGrid w:val="0"/>
        </w:rPr>
      </w:pPr>
      <w:bookmarkStart w:id="33" w:name="_Toc411234385"/>
      <w:bookmarkStart w:id="34" w:name="_Toc50191356"/>
      <w:bookmarkStart w:id="35" w:name="_Toc52092058"/>
      <w:bookmarkStart w:id="36" w:name="_Toc181503353"/>
      <w:r>
        <w:rPr>
          <w:rStyle w:val="CharSectno"/>
        </w:rPr>
        <w:t>9</w:t>
      </w:r>
      <w:r>
        <w:rPr>
          <w:snapToGrid w:val="0"/>
        </w:rPr>
        <w:t>.</w:t>
      </w:r>
      <w:r>
        <w:rPr>
          <w:snapToGrid w:val="0"/>
        </w:rPr>
        <w:tab/>
        <w:t>Order not to be inequitable as regards assets already distributed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rPr>
          <w:snapToGrid w:val="0"/>
        </w:rPr>
      </w:pPr>
      <w:bookmarkStart w:id="37" w:name="_Toc411234386"/>
      <w:bookmarkStart w:id="38" w:name="_Toc50191357"/>
      <w:bookmarkStart w:id="39" w:name="_Toc52092059"/>
      <w:bookmarkStart w:id="40" w:name="_Toc181503354"/>
      <w:r>
        <w:rPr>
          <w:rStyle w:val="CharSectno"/>
        </w:rPr>
        <w:t>10</w:t>
      </w:r>
      <w:r>
        <w:rPr>
          <w:snapToGrid w:val="0"/>
        </w:rPr>
        <w:t>.</w:t>
      </w:r>
      <w:r>
        <w:rPr>
          <w:snapToGrid w:val="0"/>
        </w:rPr>
        <w:tab/>
        <w:t>Order to take effect as codicil or as a devolution on intestacy</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rPr>
          <w:snapToGrid w:val="0"/>
        </w:rPr>
      </w:pPr>
      <w:bookmarkStart w:id="41" w:name="_Toc411234387"/>
      <w:bookmarkStart w:id="42" w:name="_Toc50191358"/>
      <w:bookmarkStart w:id="43" w:name="_Toc52092060"/>
      <w:bookmarkStart w:id="44" w:name="_Toc181503355"/>
      <w:r>
        <w:rPr>
          <w:rStyle w:val="CharSectno"/>
        </w:rPr>
        <w:t>11</w:t>
      </w:r>
      <w:r>
        <w:rPr>
          <w:snapToGrid w:val="0"/>
        </w:rPr>
        <w:t>.</w:t>
      </w:r>
      <w:r>
        <w:rPr>
          <w:snapToGrid w:val="0"/>
        </w:rPr>
        <w:tab/>
        <w:t>Power of Administrator to distribute where immediately necessary</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pPr>
        <w:pStyle w:val="Heading5"/>
        <w:rPr>
          <w:snapToGrid w:val="0"/>
        </w:rPr>
      </w:pPr>
      <w:bookmarkStart w:id="45" w:name="_Toc411234388"/>
      <w:bookmarkStart w:id="46" w:name="_Toc50191359"/>
      <w:bookmarkStart w:id="47" w:name="_Toc52092061"/>
      <w:bookmarkStart w:id="48" w:name="_Toc181503356"/>
      <w:r>
        <w:rPr>
          <w:rStyle w:val="CharSectno"/>
        </w:rPr>
        <w:t>12</w:t>
      </w:r>
      <w:r>
        <w:rPr>
          <w:snapToGrid w:val="0"/>
        </w:rPr>
        <w:t>.</w:t>
      </w:r>
      <w:r>
        <w:rPr>
          <w:snapToGrid w:val="0"/>
        </w:rPr>
        <w:tab/>
        <w:t>Procedure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pPr>
        <w:pStyle w:val="Heading5"/>
        <w:rPr>
          <w:snapToGrid w:val="0"/>
        </w:rPr>
      </w:pPr>
      <w:bookmarkStart w:id="49" w:name="_Toc411234389"/>
      <w:bookmarkStart w:id="50" w:name="_Toc50191360"/>
      <w:bookmarkStart w:id="51" w:name="_Toc52092062"/>
      <w:bookmarkStart w:id="52" w:name="_Toc181503357"/>
      <w:r>
        <w:rPr>
          <w:rStyle w:val="CharSectno"/>
        </w:rPr>
        <w:t>13</w:t>
      </w:r>
      <w:r>
        <w:rPr>
          <w:snapToGrid w:val="0"/>
        </w:rPr>
        <w:t>.</w:t>
      </w:r>
      <w:r>
        <w:rPr>
          <w:snapToGrid w:val="0"/>
        </w:rPr>
        <w:tab/>
        <w:t>Provision for class fund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53" w:name="_Toc411234390"/>
      <w:bookmarkStart w:id="54" w:name="_Toc50191361"/>
      <w:bookmarkStart w:id="55" w:name="_Toc52092063"/>
      <w:bookmarkStart w:id="56" w:name="_Toc181503358"/>
      <w:r>
        <w:rPr>
          <w:rStyle w:val="CharSectno"/>
        </w:rPr>
        <w:t>14</w:t>
      </w:r>
      <w:r>
        <w:rPr>
          <w:snapToGrid w:val="0"/>
        </w:rPr>
        <w:t>.</w:t>
      </w:r>
      <w:r>
        <w:rPr>
          <w:snapToGrid w:val="0"/>
        </w:rPr>
        <w:tab/>
        <w:t>Terms of the order</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57" w:name="_Toc411234391"/>
      <w:bookmarkStart w:id="58" w:name="_Toc50191362"/>
      <w:bookmarkStart w:id="59" w:name="_Toc52092064"/>
      <w:bookmarkStart w:id="60" w:name="_Toc181503359"/>
      <w:r>
        <w:rPr>
          <w:rStyle w:val="CharSectno"/>
        </w:rPr>
        <w:t>15</w:t>
      </w:r>
      <w:r>
        <w:rPr>
          <w:snapToGrid w:val="0"/>
        </w:rPr>
        <w:t>.</w:t>
      </w:r>
      <w:r>
        <w:rPr>
          <w:snapToGrid w:val="0"/>
        </w:rPr>
        <w:tab/>
        <w:t>Rescission, or suspension of order and reduction of provision</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61" w:name="_Toc411234392"/>
      <w:bookmarkStart w:id="62" w:name="_Toc50191363"/>
      <w:bookmarkStart w:id="63" w:name="_Toc52092065"/>
      <w:bookmarkStart w:id="64" w:name="_Toc181503360"/>
      <w:r>
        <w:rPr>
          <w:rStyle w:val="CharSectno"/>
        </w:rPr>
        <w:t>16</w:t>
      </w:r>
      <w:r>
        <w:rPr>
          <w:snapToGrid w:val="0"/>
        </w:rPr>
        <w:t>.</w:t>
      </w:r>
      <w:r>
        <w:rPr>
          <w:snapToGrid w:val="0"/>
        </w:rPr>
        <w:tab/>
        <w:t>Order for increased provision</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65" w:name="_Toc411234393"/>
      <w:bookmarkStart w:id="66" w:name="_Toc50191364"/>
      <w:bookmarkStart w:id="67" w:name="_Toc52092066"/>
      <w:bookmarkStart w:id="68" w:name="_Toc181503361"/>
      <w:r>
        <w:rPr>
          <w:rStyle w:val="CharSectno"/>
        </w:rPr>
        <w:t>17</w:t>
      </w:r>
      <w:r>
        <w:rPr>
          <w:snapToGrid w:val="0"/>
        </w:rPr>
        <w:t>.</w:t>
      </w:r>
      <w:r>
        <w:rPr>
          <w:snapToGrid w:val="0"/>
        </w:rPr>
        <w:tab/>
        <w:t>Court may decide effect of order on property disposed of</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69" w:name="_Toc411234394"/>
      <w:bookmarkStart w:id="70" w:name="_Toc50191365"/>
      <w:bookmarkStart w:id="71" w:name="_Toc52092067"/>
      <w:bookmarkStart w:id="72" w:name="_Toc181503362"/>
      <w:r>
        <w:rPr>
          <w:rStyle w:val="CharSectno"/>
        </w:rPr>
        <w:t>18</w:t>
      </w:r>
      <w:r>
        <w:rPr>
          <w:snapToGrid w:val="0"/>
        </w:rPr>
        <w:t>.</w:t>
      </w:r>
      <w:r>
        <w:rPr>
          <w:snapToGrid w:val="0"/>
        </w:rPr>
        <w:tab/>
        <w:t>Appointment of Administrator by the Court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73" w:name="_Toc411234395"/>
      <w:bookmarkStart w:id="74" w:name="_Toc50191366"/>
      <w:bookmarkStart w:id="75" w:name="_Toc52092068"/>
      <w:bookmarkStart w:id="76" w:name="_Toc181503363"/>
      <w:r>
        <w:rPr>
          <w:rStyle w:val="CharSectno"/>
        </w:rPr>
        <w:t>19</w:t>
      </w:r>
      <w:r>
        <w:rPr>
          <w:snapToGrid w:val="0"/>
        </w:rPr>
        <w:t>.</w:t>
      </w:r>
      <w:r>
        <w:rPr>
          <w:snapToGrid w:val="0"/>
        </w:rPr>
        <w:tab/>
        <w:t>Mortgages etc. of provision under orders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pPr>
        <w:pStyle w:val="Heading5"/>
        <w:rPr>
          <w:snapToGrid w:val="0"/>
        </w:rPr>
      </w:pPr>
      <w:bookmarkStart w:id="77" w:name="_Toc411234396"/>
      <w:bookmarkStart w:id="78" w:name="_Toc50191367"/>
      <w:bookmarkStart w:id="79" w:name="_Toc52092069"/>
      <w:bookmarkStart w:id="80" w:name="_Toc181503364"/>
      <w:r>
        <w:rPr>
          <w:rStyle w:val="CharSectno"/>
        </w:rPr>
        <w:t>20</w:t>
      </w:r>
      <w:r>
        <w:rPr>
          <w:snapToGrid w:val="0"/>
        </w:rPr>
        <w:t>.</w:t>
      </w:r>
      <w:r>
        <w:rPr>
          <w:snapToGrid w:val="0"/>
        </w:rPr>
        <w:tab/>
        <w:t>Power of Administrator to distribute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Heading5"/>
        <w:rPr>
          <w:snapToGrid w:val="0"/>
        </w:rPr>
      </w:pPr>
      <w:bookmarkStart w:id="81" w:name="_Toc411234397"/>
      <w:bookmarkStart w:id="82" w:name="_Toc50191368"/>
      <w:bookmarkStart w:id="83" w:name="_Toc52092070"/>
      <w:bookmarkStart w:id="84" w:name="_Toc181503365"/>
      <w:r>
        <w:rPr>
          <w:rStyle w:val="CharSectno"/>
        </w:rPr>
        <w:t>21</w:t>
      </w:r>
      <w:r>
        <w:rPr>
          <w:snapToGrid w:val="0"/>
        </w:rPr>
        <w:t>.</w:t>
      </w:r>
      <w:r>
        <w:rPr>
          <w:snapToGrid w:val="0"/>
        </w:rPr>
        <w:tab/>
        <w:t>Rules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Ednotesection"/>
        <w:spacing w:before="400"/>
        <w:ind w:left="890" w:hanging="890"/>
        <w:rPr>
          <w:i w:val="0"/>
        </w:rPr>
      </w:pPr>
      <w:r>
        <w:tab/>
      </w:r>
      <w:r>
        <w:tab/>
        <w:t>[Schedule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p>
    <w:p>
      <w:pPr>
        <w:pStyle w:val="nHeading2"/>
      </w:pPr>
      <w:bookmarkStart w:id="85" w:name="_Toc181502664"/>
      <w:bookmarkStart w:id="86" w:name="_Toc181503366"/>
      <w:r>
        <w:t>Notes</w:t>
      </w:r>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Inheritance (Family and Dependants Provision) Act 1972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 w:name="_Toc50191369"/>
      <w:bookmarkStart w:id="88" w:name="_Toc52092071"/>
      <w:bookmarkStart w:id="89" w:name="_Toc181503367"/>
      <w:r>
        <w:rPr>
          <w:snapToGrid w:val="0"/>
        </w:rPr>
        <w:t>Compilation table</w:t>
      </w:r>
      <w:bookmarkEnd w:id="87"/>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Inheritance (Family and Dependants Provision) Act 1972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2" w:type="dxa"/>
          </w:tcPr>
          <w:p>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tc>
          <w:tcPr>
            <w:tcW w:w="2268" w:type="dxa"/>
          </w:tcPr>
          <w:p>
            <w:pPr>
              <w:pStyle w:val="nTable"/>
              <w:spacing w:after="40"/>
              <w:rPr>
                <w:sz w:val="19"/>
              </w:rPr>
            </w:pPr>
            <w:r>
              <w:rPr>
                <w:i/>
                <w:sz w:val="19"/>
              </w:rPr>
              <w:t>Inheritance (Family and Dependants Provision) Amendment Act 1986</w:t>
            </w:r>
          </w:p>
        </w:tc>
        <w:tc>
          <w:tcPr>
            <w:tcW w:w="1134" w:type="dxa"/>
          </w:tcPr>
          <w:p>
            <w:pPr>
              <w:pStyle w:val="nTable"/>
              <w:spacing w:after="40"/>
              <w:rPr>
                <w:sz w:val="19"/>
              </w:rPr>
            </w:pPr>
            <w:r>
              <w:rPr>
                <w:sz w:val="19"/>
              </w:rPr>
              <w:t>75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c>
          <w:tcPr>
            <w:tcW w:w="2268" w:type="dxa"/>
          </w:tcPr>
          <w:p>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z w:val="19"/>
                <w:vertAlign w:val="superscript"/>
              </w:rPr>
            </w:pPr>
            <w:r>
              <w:rPr>
                <w:i/>
                <w:sz w:val="19"/>
              </w:rPr>
              <w:t>Acts Amendment (Equality of Status) Act 2003</w:t>
            </w:r>
            <w:r>
              <w:rPr>
                <w:sz w:val="19"/>
              </w:rPr>
              <w:t xml:space="preserve"> Pt. 32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Borders>
              <w:bottom w:val="single" w:sz="4" w:space="0" w:color="auto"/>
            </w:tcBorders>
          </w:tcPr>
          <w:p>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7405065"/>
      <w:bookmarkStart w:id="91" w:name="_Toc181500909"/>
      <w:bookmarkStart w:id="92" w:name="_Toc181503368"/>
      <w:r>
        <w:t>Provisions that have not come into operation</w:t>
      </w:r>
      <w:bookmarkEnd w:id="90"/>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4</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26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20"/>
        <w:rPr>
          <w:vertAlign w:val="superscript"/>
        </w:rPr>
      </w:pPr>
    </w:p>
    <w:p>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MiscOpen"/>
      </w:pPr>
      <w:r>
        <w:t>“</w:t>
      </w: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MiscClose"/>
      </w:pP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93" w:name="_Toc131300269"/>
      <w:bookmarkStart w:id="94" w:name="_Toc180389786"/>
      <w:bookmarkStart w:id="95" w:name="_Toc181435407"/>
      <w:r>
        <w:rPr>
          <w:rStyle w:val="CharSectno"/>
        </w:rPr>
        <w:t>25</w:t>
      </w:r>
      <w:r>
        <w:t>.</w:t>
      </w:r>
      <w:r>
        <w:tab/>
        <w:t>Consequential amendments to other Acts</w:t>
      </w:r>
      <w:bookmarkEnd w:id="93"/>
      <w:bookmarkEnd w:id="94"/>
      <w:bookmarkEnd w:id="95"/>
    </w:p>
    <w:p>
      <w:pPr>
        <w:pStyle w:val="nzSubsection"/>
      </w:pPr>
      <w:r>
        <w:tab/>
      </w:r>
      <w:r>
        <w:tab/>
        <w:t>Schedule 1 has effect.</w:t>
      </w:r>
    </w:p>
    <w:p>
      <w:pPr>
        <w:pStyle w:val="MiscClose"/>
      </w:pPr>
      <w:r>
        <w:t>”.</w:t>
      </w:r>
    </w:p>
    <w:p>
      <w:pPr>
        <w:pStyle w:val="nzSubsection"/>
      </w:pPr>
      <w:r>
        <w:t>Schedule 1 cl. 2 reads as follows:</w:t>
      </w:r>
    </w:p>
    <w:p>
      <w:pPr>
        <w:pStyle w:val="MiscOpen"/>
        <w:keepNext w:val="0"/>
        <w:spacing w:before="60"/>
        <w:rPr>
          <w:sz w:val="20"/>
        </w:rPr>
      </w:pPr>
      <w:r>
        <w:rPr>
          <w:sz w:val="20"/>
        </w:rPr>
        <w:t>“</w:t>
      </w:r>
    </w:p>
    <w:p>
      <w:pPr>
        <w:pStyle w:val="nzHeading2"/>
      </w:pPr>
      <w:bookmarkStart w:id="96" w:name="_Toc131300270"/>
      <w:bookmarkStart w:id="97" w:name="_Toc131309785"/>
      <w:bookmarkStart w:id="98" w:name="_Toc180389787"/>
      <w:bookmarkStart w:id="99" w:name="_Toc181435408"/>
      <w:r>
        <w:rPr>
          <w:rStyle w:val="CharSchNo"/>
        </w:rPr>
        <w:t>Schedule 1</w:t>
      </w:r>
      <w:r>
        <w:rPr>
          <w:rStyle w:val="CharSDivNo"/>
        </w:rPr>
        <w:t> </w:t>
      </w:r>
      <w:r>
        <w:t>—</w:t>
      </w:r>
      <w:r>
        <w:rPr>
          <w:rStyle w:val="CharSDivText"/>
        </w:rPr>
        <w:t> </w:t>
      </w:r>
      <w:r>
        <w:rPr>
          <w:rStyle w:val="CharSchText"/>
        </w:rPr>
        <w:t>Consequential amendments to other Acts</w:t>
      </w:r>
      <w:bookmarkEnd w:id="96"/>
      <w:bookmarkEnd w:id="97"/>
      <w:bookmarkEnd w:id="98"/>
      <w:bookmarkEnd w:id="99"/>
    </w:p>
    <w:p>
      <w:pPr>
        <w:pStyle w:val="nzMiscellaneousBody"/>
        <w:jc w:val="right"/>
      </w:pPr>
      <w:r>
        <w:t>[s. 25]</w:t>
      </w:r>
    </w:p>
    <w:p>
      <w:pPr>
        <w:pStyle w:val="MiscOpen"/>
      </w:pPr>
      <w:r>
        <w:t>“</w:t>
      </w:r>
    </w:p>
    <w:p>
      <w:pPr>
        <w:pStyle w:val="nzHeading5"/>
      </w:pPr>
      <w:bookmarkStart w:id="100" w:name="_Toc131300272"/>
      <w:bookmarkStart w:id="101" w:name="_Toc180389790"/>
      <w:bookmarkStart w:id="102" w:name="_Toc181435411"/>
      <w:r>
        <w:rPr>
          <w:rStyle w:val="CharSClsNo"/>
        </w:rPr>
        <w:t>2</w:t>
      </w:r>
      <w:r>
        <w:t>.</w:t>
      </w:r>
      <w:r>
        <w:tab/>
      </w:r>
      <w:r>
        <w:rPr>
          <w:rStyle w:val="CharSClsNo"/>
          <w:i/>
          <w:iCs/>
        </w:rPr>
        <w:t>Inheritance (Family and Dependants Provision) Act 1972</w:t>
      </w:r>
      <w:r>
        <w:t xml:space="preserve"> amended</w:t>
      </w:r>
      <w:bookmarkEnd w:id="100"/>
      <w:bookmarkEnd w:id="101"/>
      <w:bookmarkEnd w:id="102"/>
    </w:p>
    <w:p>
      <w:pPr>
        <w:pStyle w:val="nzSubsection"/>
      </w:pPr>
      <w:r>
        <w:tab/>
        <w:t>(1)</w:t>
      </w:r>
      <w:r>
        <w:tab/>
        <w:t xml:space="preserve">The amendments in this clause are to the </w:t>
      </w:r>
      <w:r>
        <w:rPr>
          <w:i/>
          <w:iCs/>
        </w:rPr>
        <w:t>Inheritance (Family and Dependants Provision) Act 1972</w:t>
      </w:r>
      <w:r>
        <w:t>.</w:t>
      </w:r>
    </w:p>
    <w:p>
      <w:pPr>
        <w:pStyle w:val="nzSubsection"/>
      </w:pPr>
      <w:r>
        <w:tab/>
        <w:t>(2)</w:t>
      </w:r>
      <w:r>
        <w:tab/>
        <w:t xml:space="preserve">Section 4(1) is amended in the definition of “will” by deleting “instrument.” and inserting instead — </w:t>
      </w:r>
    </w:p>
    <w:p>
      <w:pPr>
        <w:pStyle w:val="nzSubsection"/>
        <w:rPr>
          <w:sz w:val="22"/>
        </w:rPr>
      </w:pPr>
      <w:r>
        <w:tab/>
      </w:r>
      <w:r>
        <w:rPr>
          <w:sz w:val="22"/>
        </w:rPr>
        <w:tab/>
        <w:t>“    disposition.    ”.</w:t>
      </w:r>
    </w:p>
    <w:p>
      <w:pPr>
        <w:pStyle w:val="MiscClose"/>
      </w:pPr>
      <w:r>
        <w:t>”.</w:t>
      </w:r>
    </w:p>
    <w:p>
      <w:pPr>
        <w:pStyle w:val="MiscOpen"/>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Inheritance (Family and Dependants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Inheritance (Family and Dependants Provision)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Inheritance (Family and Dependants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C4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1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AB7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E8F3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EE3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E213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0E8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AC8A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F4F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948B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B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262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17"/>
    <w:docVar w:name="WAFER_20151203162717" w:val="RemoveTrackChanges"/>
    <w:docVar w:name="WAFER_20151203162717_GUID" w:val="cb7b9e43-727e-480e-9bfa-582ff267fe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4197</Words>
  <Characters>20762</Characters>
  <Application>Microsoft Office Word</Application>
  <DocSecurity>0</DocSecurity>
  <Lines>532</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1972 - 01-b0-02</dc:title>
  <dc:subject/>
  <dc:creator/>
  <cp:keywords/>
  <dc:description/>
  <cp:lastModifiedBy>svcMRProcess</cp:lastModifiedBy>
  <cp:revision>4</cp:revision>
  <cp:lastPrinted>2003-09-17T03:14:00Z</cp:lastPrinted>
  <dcterms:created xsi:type="dcterms:W3CDTF">2015-12-03T08:33:00Z</dcterms:created>
  <dcterms:modified xsi:type="dcterms:W3CDTF">2015-12-03T08:33:00Z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20071026</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AsAtDate">
    <vt:lpwstr>26 Oct 2007</vt:lpwstr>
  </property>
  <property fmtid="{D5CDD505-2E9C-101B-9397-08002B2CF9AE}" pid="8" name="Suffix">
    <vt:lpwstr>01-b0-02</vt:lpwstr>
  </property>
</Properties>
</file>