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400" w:after="0"/>
      </w:pPr>
      <w:r>
        <w:rPr>
          <w:snapToGrid w:val="0"/>
        </w:rPr>
        <w:t>Evidence Act 1906</w:t>
      </w:r>
    </w:p>
    <w:p>
      <w:pPr>
        <w:pStyle w:val="NameofActReg"/>
        <w:spacing w:before="3760" w:after="4200"/>
      </w:pPr>
      <w:r>
        <w:rPr>
          <w:noProof/>
        </w:rPr>
        <w:t>Evidence (Witnesses’ and Interpreters’ Fees and Expenses) Regulations 1976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_Toc183928534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_Toc183928535 \h </w:instrText>
      </w:r>
      <w:r>
        <w:fldChar w:fldCharType="separate"/>
      </w:r>
      <w:r>
        <w:t>1</w:t>
      </w:r>
      <w:r>
        <w:fldChar w:fldCharType="end"/>
      </w:r>
    </w:p>
    <w:p>
      <w:pPr>
        <w:pStyle w:val="TOC8"/>
        <w:rPr>
          <w:sz w:val="24"/>
          <w:szCs w:val="24"/>
        </w:rPr>
      </w:pPr>
      <w:r>
        <w:rPr>
          <w:szCs w:val="24"/>
        </w:rPr>
        <w:t>2A.</w:t>
      </w:r>
      <w:r>
        <w:rPr>
          <w:szCs w:val="24"/>
        </w:rPr>
        <w:tab/>
        <w:t>Appointment of paying officer</w:t>
      </w:r>
      <w:r>
        <w:tab/>
      </w:r>
      <w:r>
        <w:fldChar w:fldCharType="begin"/>
      </w:r>
      <w:r>
        <w:instrText xml:space="preserve"> PAGEREF _Toc183928536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Fees and expenses to be paid</w:t>
      </w:r>
      <w:r>
        <w:tab/>
      </w:r>
      <w:r>
        <w:fldChar w:fldCharType="begin"/>
      </w:r>
      <w:r>
        <w:instrText xml:space="preserve"> PAGEREF _Toc183928537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Fees (item 1 and item 2)</w:t>
      </w:r>
      <w:r>
        <w:tab/>
      </w:r>
      <w:r>
        <w:fldChar w:fldCharType="begin"/>
      </w:r>
      <w:r>
        <w:instrText xml:space="preserve"> PAGEREF _Toc183928538 \h </w:instrText>
      </w:r>
      <w:r>
        <w:fldChar w:fldCharType="separate"/>
      </w:r>
      <w:r>
        <w:t>3</w:t>
      </w:r>
      <w:r>
        <w:fldChar w:fldCharType="end"/>
      </w:r>
    </w:p>
    <w:p>
      <w:pPr>
        <w:pStyle w:val="TOC8"/>
        <w:rPr>
          <w:sz w:val="24"/>
          <w:szCs w:val="24"/>
        </w:rPr>
      </w:pPr>
      <w:r>
        <w:rPr>
          <w:szCs w:val="24"/>
        </w:rPr>
        <w:t>5.</w:t>
      </w:r>
      <w:r>
        <w:rPr>
          <w:szCs w:val="24"/>
        </w:rPr>
        <w:tab/>
        <w:t>Expert witnesses</w:t>
      </w:r>
      <w:r>
        <w:tab/>
      </w:r>
      <w:r>
        <w:fldChar w:fldCharType="begin"/>
      </w:r>
      <w:r>
        <w:instrText xml:space="preserve"> PAGEREF _Toc183928539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Young persons and accompanying parents</w:t>
      </w:r>
      <w:r>
        <w:tab/>
      </w:r>
      <w:r>
        <w:fldChar w:fldCharType="begin"/>
      </w:r>
      <w:r>
        <w:instrText xml:space="preserve"> PAGEREF _Toc183928540 \h </w:instrText>
      </w:r>
      <w:r>
        <w:fldChar w:fldCharType="separate"/>
      </w:r>
      <w:r>
        <w:t>3</w:t>
      </w:r>
      <w:r>
        <w:fldChar w:fldCharType="end"/>
      </w:r>
    </w:p>
    <w:p>
      <w:pPr>
        <w:pStyle w:val="TOC8"/>
        <w:rPr>
          <w:sz w:val="24"/>
          <w:szCs w:val="24"/>
        </w:rPr>
      </w:pPr>
      <w:r>
        <w:rPr>
          <w:szCs w:val="24"/>
        </w:rPr>
        <w:t>6A.</w:t>
      </w:r>
      <w:r>
        <w:rPr>
          <w:szCs w:val="24"/>
        </w:rPr>
        <w:tab/>
        <w:t>Special witnesses</w:t>
      </w:r>
      <w:r>
        <w:tab/>
      </w:r>
      <w:r>
        <w:fldChar w:fldCharType="begin"/>
      </w:r>
      <w:r>
        <w:instrText xml:space="preserve"> PAGEREF _Toc183928541 \h </w:instrText>
      </w:r>
      <w:r>
        <w:fldChar w:fldCharType="separate"/>
      </w:r>
      <w:r>
        <w:t>4</w:t>
      </w:r>
      <w:r>
        <w:fldChar w:fldCharType="end"/>
      </w:r>
    </w:p>
    <w:p>
      <w:pPr>
        <w:pStyle w:val="TOC8"/>
        <w:rPr>
          <w:sz w:val="24"/>
          <w:szCs w:val="24"/>
        </w:rPr>
      </w:pPr>
      <w:r>
        <w:rPr>
          <w:szCs w:val="24"/>
        </w:rPr>
        <w:t>7.</w:t>
      </w:r>
      <w:r>
        <w:rPr>
          <w:szCs w:val="24"/>
        </w:rPr>
        <w:tab/>
        <w:t>Fees for interpreters</w:t>
      </w:r>
      <w:r>
        <w:tab/>
      </w:r>
      <w:r>
        <w:fldChar w:fldCharType="begin"/>
      </w:r>
      <w:r>
        <w:instrText xml:space="preserve"> PAGEREF _Toc183928542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Travelling expenses (</w:t>
      </w:r>
      <w:r>
        <w:rPr>
          <w:szCs w:val="24"/>
        </w:rPr>
        <w:t>item 2)</w:t>
      </w:r>
      <w:r>
        <w:tab/>
      </w:r>
      <w:r>
        <w:fldChar w:fldCharType="begin"/>
      </w:r>
      <w:r>
        <w:instrText xml:space="preserve"> PAGEREF _Toc183928543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Air fares</w:t>
      </w:r>
      <w:r>
        <w:tab/>
      </w:r>
      <w:r>
        <w:fldChar w:fldCharType="begin"/>
      </w:r>
      <w:r>
        <w:instrText xml:space="preserve"> PAGEREF _Toc183928544 \h </w:instrText>
      </w:r>
      <w:r>
        <w:fldChar w:fldCharType="separate"/>
      </w:r>
      <w:r>
        <w:t>6</w:t>
      </w:r>
      <w:r>
        <w:fldChar w:fldCharType="end"/>
      </w:r>
    </w:p>
    <w:p>
      <w:pPr>
        <w:pStyle w:val="TOC8"/>
        <w:rPr>
          <w:sz w:val="24"/>
          <w:szCs w:val="24"/>
        </w:rPr>
      </w:pPr>
      <w:r>
        <w:rPr>
          <w:szCs w:val="24"/>
        </w:rPr>
        <w:t>10.</w:t>
      </w:r>
      <w:r>
        <w:rPr>
          <w:szCs w:val="24"/>
        </w:rPr>
        <w:tab/>
        <w:t>Expenses for meals</w:t>
      </w:r>
      <w:r>
        <w:tab/>
      </w:r>
      <w:r>
        <w:fldChar w:fldCharType="begin"/>
      </w:r>
      <w:r>
        <w:instrText xml:space="preserve"> PAGEREF _Toc183928545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Accommodation expenses</w:t>
      </w:r>
      <w:r>
        <w:tab/>
      </w:r>
      <w:r>
        <w:fldChar w:fldCharType="begin"/>
      </w:r>
      <w:r>
        <w:instrText xml:space="preserve"> PAGEREF _Toc183928546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Witnesses and interpreters from outside State</w:t>
      </w:r>
      <w:r>
        <w:tab/>
      </w:r>
      <w:r>
        <w:fldChar w:fldCharType="begin"/>
      </w:r>
      <w:r>
        <w:instrText xml:space="preserve"> PAGEREF _Toc183928547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Miscellaneous expenses</w:t>
      </w:r>
      <w:r>
        <w:tab/>
      </w:r>
      <w:r>
        <w:fldChar w:fldCharType="begin"/>
      </w:r>
      <w:r>
        <w:instrText xml:space="preserve"> PAGEREF _Toc183928548 \h </w:instrText>
      </w:r>
      <w:r>
        <w:fldChar w:fldCharType="separate"/>
      </w:r>
      <w:r>
        <w:t>8</w:t>
      </w:r>
      <w:r>
        <w:fldChar w:fldCharType="end"/>
      </w:r>
    </w:p>
    <w:p>
      <w:pPr>
        <w:pStyle w:val="TOC8"/>
        <w:rPr>
          <w:sz w:val="24"/>
          <w:szCs w:val="24"/>
        </w:rPr>
      </w:pPr>
      <w:r>
        <w:rPr>
          <w:szCs w:val="24"/>
        </w:rPr>
        <w:t>15.</w:t>
      </w:r>
      <w:r>
        <w:rPr>
          <w:szCs w:val="24"/>
        </w:rPr>
        <w:tab/>
        <w:t>Discretion to pay higher amounts in certain circumstances</w:t>
      </w:r>
      <w:r>
        <w:tab/>
      </w:r>
      <w:r>
        <w:fldChar w:fldCharType="begin"/>
      </w:r>
      <w:r>
        <w:instrText xml:space="preserve"> PAGEREF _Toc183928549 \h </w:instrText>
      </w:r>
      <w:r>
        <w:fldChar w:fldCharType="separate"/>
      </w:r>
      <w:r>
        <w:t>8</w:t>
      </w:r>
      <w:r>
        <w:fldChar w:fldCharType="end"/>
      </w:r>
    </w:p>
    <w:p>
      <w:pPr>
        <w:pStyle w:val="TOC2"/>
        <w:keepNext w:val="0"/>
        <w:tabs>
          <w:tab w:val="right" w:leader="dot" w:pos="7078"/>
        </w:tabs>
        <w:rPr>
          <w:b w:val="0"/>
          <w:sz w:val="24"/>
          <w:szCs w:val="24"/>
        </w:rPr>
      </w:pPr>
      <w:r>
        <w:rPr>
          <w:szCs w:val="28"/>
        </w:rPr>
        <w:t>Schedule</w:t>
      </w:r>
    </w:p>
    <w:p>
      <w:pPr>
        <w:pStyle w:val="TOC2"/>
        <w:keepLines/>
        <w:tabs>
          <w:tab w:val="right" w:leader="dot" w:pos="7078"/>
        </w:tabs>
        <w:rPr>
          <w:b w:val="0"/>
          <w:sz w:val="24"/>
          <w:szCs w:val="24"/>
        </w:rPr>
      </w:pPr>
      <w:r>
        <w:rPr>
          <w:szCs w:val="26"/>
        </w:rPr>
        <w:lastRenderedPageBreak/>
        <w:t>Notes</w:t>
      </w:r>
    </w:p>
    <w:p>
      <w:pPr>
        <w:pStyle w:val="TOC8"/>
        <w:keepNext/>
        <w:keepLines/>
        <w:rPr>
          <w:sz w:val="24"/>
          <w:szCs w:val="24"/>
        </w:rPr>
      </w:pPr>
      <w:r>
        <w:rPr>
          <w:snapToGrid w:val="0"/>
          <w:szCs w:val="24"/>
        </w:rPr>
        <w:tab/>
        <w:t>Compilation table</w:t>
      </w:r>
      <w:r>
        <w:tab/>
      </w:r>
      <w:r>
        <w:fldChar w:fldCharType="begin"/>
      </w:r>
      <w:r>
        <w:instrText xml:space="preserve"> PAGEREF _Toc183928552 \h </w:instrText>
      </w:r>
      <w:r>
        <w:fldChar w:fldCharType="separate"/>
      </w:r>
      <w:r>
        <w:t>11</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November 2007</w:t>
            </w:r>
          </w:p>
        </w:tc>
      </w:tr>
    </w:tbl>
    <w:p>
      <w:pPr>
        <w:pStyle w:val="WA"/>
        <w:spacing w:before="120"/>
      </w:pPr>
      <w:r>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1" w:name="_Toc414955046"/>
      <w:bookmarkStart w:id="2" w:name="_Toc8464101"/>
      <w:bookmarkStart w:id="3" w:name="_Toc92258769"/>
      <w:bookmarkStart w:id="4" w:name="_Toc183928534"/>
      <w:r>
        <w:rPr>
          <w:rStyle w:val="CharSectno"/>
        </w:rPr>
        <w:t>1</w:t>
      </w:r>
      <w:r>
        <w:rPr>
          <w:snapToGrid w:val="0"/>
        </w:rPr>
        <w:t>.</w:t>
      </w:r>
      <w:r>
        <w:rPr>
          <w:snapToGrid w:val="0"/>
        </w:rPr>
        <w:tab/>
      </w:r>
      <w:bookmarkEnd w:id="1"/>
      <w:bookmarkEnd w:id="2"/>
      <w:r>
        <w:rPr>
          <w:snapToGrid w:val="0"/>
        </w:rPr>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5" w:name="_Toc414955047"/>
      <w:bookmarkStart w:id="6" w:name="_Toc8464102"/>
      <w:bookmarkStart w:id="7" w:name="_Toc92258770"/>
      <w:bookmarkStart w:id="8" w:name="_Toc183928535"/>
      <w:r>
        <w:rPr>
          <w:rStyle w:val="CharSectno"/>
        </w:rPr>
        <w:t>2</w:t>
      </w:r>
      <w:r>
        <w:rPr>
          <w:snapToGrid w:val="0"/>
        </w:rPr>
        <w:t>.</w:t>
      </w:r>
      <w:r>
        <w:rPr>
          <w:snapToGrid w:val="0"/>
        </w:rPr>
        <w:tab/>
      </w:r>
      <w:bookmarkEnd w:id="5"/>
      <w:bookmarkEnd w:id="6"/>
      <w:bookmarkEnd w:id="7"/>
      <w:r>
        <w:rPr>
          <w:snapToGrid w:val="0"/>
        </w:rPr>
        <w:t>Terms used in these regulations</w:t>
      </w:r>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expert witness</w:t>
      </w:r>
      <w:r>
        <w:t xml:space="preserve"> means a witness called to give opinion evidence because of his special skill, technical knowledge or professional qualifications;</w:t>
      </w:r>
    </w:p>
    <w:p>
      <w:pPr>
        <w:pStyle w:val="Defstart"/>
      </w:pPr>
      <w:r>
        <w:rPr>
          <w:b/>
        </w:rPr>
        <w:tab/>
      </w:r>
      <w:r>
        <w:rPr>
          <w:rStyle w:val="CharDefText"/>
        </w:rPr>
        <w:t>interpreter</w:t>
      </w:r>
      <w:r>
        <w:t xml:space="preserve"> means an interpreter referred to in section 119(2) of the Act;</w:t>
      </w:r>
    </w:p>
    <w:p>
      <w:pPr>
        <w:pStyle w:val="Defstart"/>
      </w:pPr>
      <w:r>
        <w:rPr>
          <w:b/>
        </w:rPr>
        <w:tab/>
      </w:r>
      <w:r>
        <w:rPr>
          <w:rStyle w:val="CharDefText"/>
        </w:rPr>
        <w:t>item</w:t>
      </w:r>
      <w:r>
        <w:t xml:space="preserve"> means an item in the Schedule;</w:t>
      </w:r>
    </w:p>
    <w:p>
      <w:pPr>
        <w:pStyle w:val="Defstart"/>
      </w:pPr>
      <w:r>
        <w:tab/>
      </w:r>
      <w:r>
        <w:rPr>
          <w:rStyle w:val="CharDefText"/>
        </w:rPr>
        <w:t>paying officer</w:t>
      </w:r>
      <w:r>
        <w:t xml:space="preserve"> means a person appointed to be the paying officer, in the particular case, in accordance with regulation 2A;</w:t>
      </w:r>
    </w:p>
    <w:p>
      <w:pPr>
        <w:pStyle w:val="Defstart"/>
        <w:keepNext/>
        <w:keepLines/>
      </w:pPr>
      <w:r>
        <w:rPr>
          <w:b/>
        </w:rPr>
        <w:lastRenderedPageBreak/>
        <w:tab/>
      </w:r>
      <w:r>
        <w:rPr>
          <w:rStyle w:val="CharDefText"/>
        </w:rPr>
        <w:t>witness</w:t>
      </w:r>
      <w:r>
        <w:t xml:space="preserve"> means a witness referred to in section 119(2) of the Act but does not include a police officer acting in the course of his duty.</w:t>
      </w:r>
    </w:p>
    <w:p>
      <w:pPr>
        <w:pStyle w:val="Footnotesection"/>
        <w:keepNext/>
      </w:pPr>
      <w:r>
        <w:tab/>
        <w:t xml:space="preserve">[Regulation 2 amended in Gazette 5 Dec 1995 p. 5585; 31 Dec 2004 p. 7142.] </w:t>
      </w:r>
    </w:p>
    <w:p>
      <w:pPr>
        <w:pStyle w:val="Heading5"/>
      </w:pPr>
      <w:bookmarkStart w:id="9" w:name="_Toc92258771"/>
      <w:bookmarkStart w:id="10" w:name="_Toc183928536"/>
      <w:bookmarkStart w:id="11" w:name="_Toc414955048"/>
      <w:bookmarkStart w:id="12" w:name="_Toc8464103"/>
      <w:r>
        <w:rPr>
          <w:rStyle w:val="CharSectno"/>
        </w:rPr>
        <w:t>2A</w:t>
      </w:r>
      <w:r>
        <w:t>.</w:t>
      </w:r>
      <w:r>
        <w:tab/>
        <w:t>Appointment of paying officer</w:t>
      </w:r>
      <w:bookmarkEnd w:id="9"/>
      <w:bookmarkEnd w:id="10"/>
    </w:p>
    <w:p>
      <w:pPr>
        <w:pStyle w:val="Subsection"/>
      </w:pPr>
      <w:r>
        <w:tab/>
        <w:t>(1)</w:t>
      </w:r>
      <w:r>
        <w:tab/>
        <w:t>In relation to matters referred to in section 119(2)(a)(ii) of the Act in which the prosecutor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7142; amended in Gazette 31 Jul 2007 p. 3798.]</w:t>
      </w:r>
    </w:p>
    <w:p>
      <w:pPr>
        <w:pStyle w:val="Heading5"/>
        <w:rPr>
          <w:snapToGrid w:val="0"/>
        </w:rPr>
      </w:pPr>
      <w:bookmarkStart w:id="13" w:name="_Toc92258772"/>
      <w:bookmarkStart w:id="14" w:name="_Toc183928537"/>
      <w:r>
        <w:rPr>
          <w:rStyle w:val="CharSectno"/>
        </w:rPr>
        <w:t>3</w:t>
      </w:r>
      <w:r>
        <w:rPr>
          <w:snapToGrid w:val="0"/>
        </w:rPr>
        <w:t>.</w:t>
      </w:r>
      <w:r>
        <w:rPr>
          <w:snapToGrid w:val="0"/>
        </w:rPr>
        <w:tab/>
        <w:t>Fees and expenses to be paid</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15" w:name="_Toc414955049"/>
      <w:bookmarkStart w:id="16" w:name="_Toc8464104"/>
      <w:bookmarkStart w:id="17" w:name="_Toc92258773"/>
      <w:bookmarkStart w:id="18" w:name="_Toc183928538"/>
      <w:r>
        <w:rPr>
          <w:rStyle w:val="CharSectno"/>
        </w:rPr>
        <w:lastRenderedPageBreak/>
        <w:t>4</w:t>
      </w:r>
      <w:r>
        <w:rPr>
          <w:snapToGrid w:val="0"/>
        </w:rPr>
        <w:t>.</w:t>
      </w:r>
      <w:r>
        <w:rPr>
          <w:snapToGrid w:val="0"/>
        </w:rPr>
        <w:tab/>
        <w:t>Fees (item 1 and item 2)</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19" w:name="_Toc92258774"/>
      <w:bookmarkStart w:id="20" w:name="_Toc183928539"/>
      <w:bookmarkStart w:id="21" w:name="_Toc414955051"/>
      <w:bookmarkStart w:id="22" w:name="_Toc8464106"/>
      <w:r>
        <w:rPr>
          <w:rStyle w:val="CharSectno"/>
        </w:rPr>
        <w:t>5</w:t>
      </w:r>
      <w:r>
        <w:t>.</w:t>
      </w:r>
      <w:r>
        <w:tab/>
        <w:t>Expert witnesses</w:t>
      </w:r>
      <w:bookmarkEnd w:id="19"/>
      <w:bookmarkEnd w:id="20"/>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23" w:name="_Toc92258775"/>
      <w:bookmarkStart w:id="24" w:name="_Toc183928540"/>
      <w:r>
        <w:rPr>
          <w:rStyle w:val="CharSectno"/>
        </w:rPr>
        <w:t>6</w:t>
      </w:r>
      <w:r>
        <w:rPr>
          <w:snapToGrid w:val="0"/>
        </w:rPr>
        <w:t>.</w:t>
      </w:r>
      <w:r>
        <w:rPr>
          <w:snapToGrid w:val="0"/>
        </w:rPr>
        <w:tab/>
        <w:t>Young persons and accompanying parent</w:t>
      </w:r>
      <w:bookmarkEnd w:id="21"/>
      <w:bookmarkEnd w:id="22"/>
      <w:bookmarkEnd w:id="23"/>
      <w:r>
        <w:rPr>
          <w:snapToGrid w:val="0"/>
        </w:rPr>
        <w:t>s</w:t>
      </w:r>
      <w:bookmarkEnd w:id="24"/>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[Regulation 6 amended in Gazette 5 Dec 1995 p. 5585; 31 Dec 2004 p. 7143</w:t>
      </w:r>
      <w:r>
        <w:noBreakHyphen/>
        <w:t xml:space="preserve">4.] </w:t>
      </w:r>
    </w:p>
    <w:p>
      <w:pPr>
        <w:pStyle w:val="Heading5"/>
      </w:pPr>
      <w:bookmarkStart w:id="25" w:name="_Toc92258776"/>
      <w:bookmarkStart w:id="26" w:name="_Toc183928541"/>
      <w:bookmarkStart w:id="27" w:name="_Toc414955052"/>
      <w:bookmarkStart w:id="28" w:name="_Toc8464107"/>
      <w:r>
        <w:rPr>
          <w:rStyle w:val="CharSectno"/>
        </w:rPr>
        <w:t>6A</w:t>
      </w:r>
      <w:r>
        <w:t>.</w:t>
      </w:r>
      <w:r>
        <w:tab/>
        <w:t>Special witnesses</w:t>
      </w:r>
      <w:bookmarkEnd w:id="25"/>
      <w:bookmarkEnd w:id="26"/>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29" w:name="_Toc92258777"/>
      <w:bookmarkStart w:id="30" w:name="_Toc183928542"/>
      <w:bookmarkStart w:id="31" w:name="_Toc414955053"/>
      <w:bookmarkStart w:id="32" w:name="_Toc8464108"/>
      <w:bookmarkEnd w:id="27"/>
      <w:bookmarkEnd w:id="28"/>
      <w:r>
        <w:rPr>
          <w:rStyle w:val="CharSectno"/>
        </w:rPr>
        <w:t>7</w:t>
      </w:r>
      <w:r>
        <w:t>.</w:t>
      </w:r>
      <w:r>
        <w:tab/>
        <w:t>Fees for interpreters</w:t>
      </w:r>
      <w:bookmarkEnd w:id="29"/>
      <w:bookmarkEnd w:id="30"/>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33" w:name="_Toc92258778"/>
      <w:bookmarkStart w:id="34" w:name="_Toc183928543"/>
      <w:r>
        <w:rPr>
          <w:rStyle w:val="CharSectno"/>
        </w:rPr>
        <w:t>8</w:t>
      </w:r>
      <w:r>
        <w:rPr>
          <w:snapToGrid w:val="0"/>
        </w:rPr>
        <w:t>.</w:t>
      </w:r>
      <w:r>
        <w:rPr>
          <w:snapToGrid w:val="0"/>
        </w:rPr>
        <w:tab/>
        <w:t xml:space="preserve">Travelling expenses </w:t>
      </w:r>
      <w:bookmarkEnd w:id="31"/>
      <w:bookmarkEnd w:id="32"/>
      <w:r>
        <w:rPr>
          <w:snapToGrid w:val="0"/>
        </w:rPr>
        <w:t>(</w:t>
      </w:r>
      <w:r>
        <w:t>item 2</w:t>
      </w:r>
      <w:bookmarkEnd w:id="33"/>
      <w:r>
        <w:t>)</w:t>
      </w:r>
      <w:bookmarkEnd w:id="34"/>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35" w:name="_Toc414955054"/>
      <w:bookmarkStart w:id="36" w:name="_Toc8464109"/>
      <w:bookmarkStart w:id="37" w:name="_Toc92258779"/>
      <w:bookmarkStart w:id="38" w:name="_Toc183928544"/>
      <w:r>
        <w:rPr>
          <w:rStyle w:val="CharSectno"/>
        </w:rPr>
        <w:t>9</w:t>
      </w:r>
      <w:r>
        <w:rPr>
          <w:snapToGrid w:val="0"/>
        </w:rPr>
        <w:t>.</w:t>
      </w:r>
      <w:r>
        <w:rPr>
          <w:snapToGrid w:val="0"/>
        </w:rPr>
        <w:tab/>
        <w:t>Air fares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39" w:name="_Toc92258780"/>
      <w:bookmarkStart w:id="40" w:name="_Toc183928545"/>
      <w:bookmarkStart w:id="41" w:name="_Toc414955056"/>
      <w:bookmarkStart w:id="42" w:name="_Toc8464111"/>
      <w:r>
        <w:rPr>
          <w:rStyle w:val="CharSectno"/>
        </w:rPr>
        <w:t>10</w:t>
      </w:r>
      <w:r>
        <w:t>.</w:t>
      </w:r>
      <w:r>
        <w:tab/>
        <w:t>Expenses for meals</w:t>
      </w:r>
      <w:bookmarkEnd w:id="39"/>
      <w:bookmarkEnd w:id="40"/>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43" w:name="_Toc92258781"/>
      <w:bookmarkStart w:id="44" w:name="_Toc183928546"/>
      <w:r>
        <w:rPr>
          <w:rStyle w:val="CharSectno"/>
        </w:rPr>
        <w:t>11</w:t>
      </w:r>
      <w:r>
        <w:rPr>
          <w:snapToGrid w:val="0"/>
        </w:rPr>
        <w:t>.</w:t>
      </w:r>
      <w:r>
        <w:rPr>
          <w:snapToGrid w:val="0"/>
        </w:rPr>
        <w:tab/>
        <w:t>Accommodation expenses</w:t>
      </w:r>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Footnotesection"/>
      </w:pPr>
      <w:r>
        <w:tab/>
        <w:t xml:space="preserve">[Regulation 11 amended in Gazette 5 Dec 1995 p. 5586; 31 Dec 2004 p. 7146.] </w:t>
      </w:r>
    </w:p>
    <w:p>
      <w:pPr>
        <w:pStyle w:val="Heading5"/>
        <w:rPr>
          <w:snapToGrid w:val="0"/>
        </w:rPr>
      </w:pPr>
      <w:bookmarkStart w:id="45" w:name="_Toc414955057"/>
      <w:bookmarkStart w:id="46" w:name="_Toc8464112"/>
      <w:bookmarkStart w:id="47" w:name="_Toc92258782"/>
      <w:bookmarkStart w:id="48" w:name="_Toc183928547"/>
      <w:r>
        <w:rPr>
          <w:rStyle w:val="CharSectno"/>
        </w:rPr>
        <w:t>12</w:t>
      </w:r>
      <w:r>
        <w:rPr>
          <w:snapToGrid w:val="0"/>
        </w:rPr>
        <w:t>.</w:t>
      </w:r>
      <w:r>
        <w:rPr>
          <w:snapToGrid w:val="0"/>
        </w:rPr>
        <w:tab/>
        <w:t>Witnesses and interpreters from outside State</w:t>
      </w:r>
      <w:bookmarkEnd w:id="45"/>
      <w:bookmarkEnd w:id="46"/>
      <w:bookmarkEnd w:id="47"/>
      <w:bookmarkEnd w:id="48"/>
      <w:r>
        <w:rPr>
          <w:snapToGrid w:val="0"/>
        </w:rPr>
        <w:t xml:space="preserve"> </w:t>
      </w:r>
    </w:p>
    <w:p>
      <w:pPr>
        <w:pStyle w:val="Subsection"/>
        <w:spacing w:before="20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20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49" w:name="_Toc414955059"/>
      <w:bookmarkStart w:id="50" w:name="_Toc8464114"/>
      <w:bookmarkStart w:id="51" w:name="_Toc92258783"/>
      <w:bookmarkStart w:id="52" w:name="_Toc183928548"/>
      <w:r>
        <w:rPr>
          <w:rStyle w:val="CharSectno"/>
        </w:rPr>
        <w:t>14</w:t>
      </w:r>
      <w:r>
        <w:rPr>
          <w:snapToGrid w:val="0"/>
        </w:rPr>
        <w:t>.</w:t>
      </w:r>
      <w:r>
        <w:rPr>
          <w:snapToGrid w:val="0"/>
        </w:rPr>
        <w:tab/>
        <w:t>Miscellaneous expenses</w:t>
      </w:r>
      <w:bookmarkEnd w:id="49"/>
      <w:bookmarkEnd w:id="50"/>
      <w:bookmarkEnd w:id="51"/>
      <w:bookmarkEnd w:id="52"/>
      <w:r>
        <w:rPr>
          <w:snapToGrid w:val="0"/>
        </w:rPr>
        <w:t xml:space="preserve"> </w:t>
      </w:r>
    </w:p>
    <w:p>
      <w:pPr>
        <w:pStyle w:val="Subsection"/>
        <w:spacing w:before="200"/>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53" w:name="_Toc92258784"/>
      <w:bookmarkStart w:id="54" w:name="_Toc183928549"/>
      <w:r>
        <w:rPr>
          <w:rStyle w:val="CharSectno"/>
        </w:rPr>
        <w:t>15</w:t>
      </w:r>
      <w:r>
        <w:t>.</w:t>
      </w:r>
      <w:r>
        <w:tab/>
        <w:t>Discretion to pay higher amounts in certain circumstances</w:t>
      </w:r>
      <w:bookmarkEnd w:id="53"/>
      <w:bookmarkEnd w:id="54"/>
    </w:p>
    <w:p>
      <w:pPr>
        <w:pStyle w:val="Subsection"/>
        <w:spacing w:before="200"/>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spacing w:before="200"/>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5" w:name="_Toc92258785"/>
      <w:bookmarkStart w:id="56" w:name="_Toc173573170"/>
      <w:bookmarkStart w:id="57" w:name="_Toc173573189"/>
      <w:bookmarkStart w:id="58" w:name="_Toc173644296"/>
      <w:bookmarkStart w:id="59" w:name="_Toc173644440"/>
      <w:bookmarkStart w:id="60" w:name="_Toc173647053"/>
      <w:bookmarkStart w:id="61" w:name="_Toc173654720"/>
      <w:bookmarkStart w:id="62" w:name="_Toc173655706"/>
      <w:bookmarkStart w:id="63" w:name="_Toc173660893"/>
      <w:bookmarkStart w:id="64" w:name="_Toc173721979"/>
      <w:bookmarkStart w:id="65" w:name="_Toc181426712"/>
      <w:bookmarkStart w:id="66" w:name="_Toc181428195"/>
      <w:bookmarkStart w:id="67" w:name="_Toc182634334"/>
      <w:bookmarkStart w:id="68" w:name="_Toc182634455"/>
      <w:bookmarkStart w:id="69" w:name="_Toc183928550"/>
      <w:r>
        <w:rPr>
          <w:rStyle w:val="CharSchNo"/>
        </w:rPr>
        <w:t>Schedule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ShoulderClause"/>
        <w:spacing w:after="120"/>
      </w:pPr>
      <w:r>
        <w:t>[r. 4, 8, 10]</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pStyle w:val="CentredBaseLine"/>
        <w:jc w:val="cente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0" w:name="_Toc92194810"/>
      <w:bookmarkStart w:id="71" w:name="_Toc92194853"/>
      <w:bookmarkStart w:id="72" w:name="_Toc92258786"/>
      <w:bookmarkStart w:id="73" w:name="_Toc173573171"/>
      <w:bookmarkStart w:id="74" w:name="_Toc173573190"/>
      <w:bookmarkStart w:id="75" w:name="_Toc173644297"/>
      <w:bookmarkStart w:id="76" w:name="_Toc173644441"/>
      <w:bookmarkStart w:id="77" w:name="_Toc173647054"/>
      <w:bookmarkStart w:id="78" w:name="_Toc173654721"/>
      <w:bookmarkStart w:id="79" w:name="_Toc173655707"/>
      <w:bookmarkStart w:id="80" w:name="_Toc173660894"/>
      <w:bookmarkStart w:id="81" w:name="_Toc173721980"/>
      <w:bookmarkStart w:id="82" w:name="_Toc181426713"/>
      <w:bookmarkStart w:id="83" w:name="_Toc181428196"/>
      <w:bookmarkStart w:id="84" w:name="_Toc182634335"/>
      <w:bookmarkStart w:id="85" w:name="_Toc182634456"/>
      <w:bookmarkStart w:id="86" w:name="_Toc183928551"/>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This reprint is a compilation </w:t>
      </w:r>
      <w:bookmarkStart w:id="87" w:name="UpToHere"/>
      <w:bookmarkEnd w:id="87"/>
      <w:r>
        <w:rPr>
          <w:snapToGrid w:val="0"/>
        </w:rPr>
        <w:t xml:space="preserve">as at 16 November 2007 of the </w:t>
      </w:r>
      <w:r>
        <w:rPr>
          <w:i/>
          <w:noProof/>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183928552"/>
      <w:r>
        <w:rPr>
          <w:snapToGrid w:val="0"/>
        </w:rPr>
        <w:t>Compilation table</w:t>
      </w:r>
      <w:bookmarkEnd w:id="88"/>
    </w:p>
    <w:tbl>
      <w:tblPr>
        <w:tblW w:w="7088" w:type="dxa"/>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Evidence (Witnesses’ and Interpreters’ Fees and Expenses) Regulations 1976</w:t>
            </w:r>
          </w:p>
        </w:tc>
        <w:tc>
          <w:tcPr>
            <w:tcW w:w="1276" w:type="dxa"/>
            <w:tcBorders>
              <w:top w:val="single" w:sz="8" w:space="0" w:color="auto"/>
            </w:tcBorders>
          </w:tcPr>
          <w:p>
            <w:pPr>
              <w:pStyle w:val="nTable"/>
              <w:spacing w:after="40"/>
              <w:rPr>
                <w:sz w:val="19"/>
              </w:rPr>
            </w:pPr>
            <w:r>
              <w:rPr>
                <w:sz w:val="19"/>
              </w:rPr>
              <w:t>19 Mar 1976 p. 801</w:t>
            </w:r>
            <w:r>
              <w:rPr>
                <w:sz w:val="19"/>
              </w:rPr>
              <w:noBreakHyphen/>
              <w:t>3</w:t>
            </w:r>
          </w:p>
        </w:tc>
        <w:tc>
          <w:tcPr>
            <w:tcW w:w="2693" w:type="dxa"/>
            <w:tcBorders>
              <w:top w:val="single" w:sz="8" w:space="0" w:color="auto"/>
            </w:tcBorders>
          </w:tcPr>
          <w:p>
            <w:pPr>
              <w:pStyle w:val="nTable"/>
              <w:spacing w:after="40"/>
              <w:rPr>
                <w:sz w:val="19"/>
              </w:rPr>
            </w:pPr>
            <w:r>
              <w:rPr>
                <w:sz w:val="19"/>
              </w:rPr>
              <w:t>1 Apr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Jan 1979 p. 126</w:t>
            </w:r>
          </w:p>
        </w:tc>
        <w:tc>
          <w:tcPr>
            <w:tcW w:w="2693" w:type="dxa"/>
          </w:tcPr>
          <w:p>
            <w:pPr>
              <w:pStyle w:val="nTable"/>
              <w:spacing w:after="40"/>
              <w:rPr>
                <w:sz w:val="19"/>
              </w:rPr>
            </w:pPr>
            <w:r>
              <w:rPr>
                <w:sz w:val="19"/>
              </w:rPr>
              <w:t>19 Jan 1979</w:t>
            </w:r>
          </w:p>
        </w:tc>
      </w:tr>
      <w:tr>
        <w:trPr>
          <w:cantSplit/>
        </w:trPr>
        <w:tc>
          <w:tcPr>
            <w:tcW w:w="3119" w:type="dxa"/>
          </w:tcPr>
          <w:p>
            <w:pPr>
              <w:pStyle w:val="nTable"/>
              <w:spacing w:after="40"/>
              <w:ind w:right="113"/>
              <w:rPr>
                <w:sz w:val="19"/>
              </w:rPr>
            </w:pPr>
            <w:r>
              <w:rPr>
                <w:i/>
                <w:sz w:val="19"/>
              </w:rPr>
              <w:t>Evidence (Witnesses’ and Interpreters’ Fees and Expenses) Amendment Regulations 1982</w:t>
            </w:r>
          </w:p>
        </w:tc>
        <w:tc>
          <w:tcPr>
            <w:tcW w:w="1276" w:type="dxa"/>
          </w:tcPr>
          <w:p>
            <w:pPr>
              <w:pStyle w:val="nTable"/>
              <w:spacing w:after="40"/>
              <w:rPr>
                <w:sz w:val="19"/>
              </w:rPr>
            </w:pPr>
            <w:r>
              <w:rPr>
                <w:sz w:val="19"/>
              </w:rPr>
              <w:t>13 Aug 1982 p. 3109</w:t>
            </w:r>
          </w:p>
        </w:tc>
        <w:tc>
          <w:tcPr>
            <w:tcW w:w="2693" w:type="dxa"/>
          </w:tcPr>
          <w:p>
            <w:pPr>
              <w:pStyle w:val="nTable"/>
              <w:spacing w:after="40"/>
              <w:rPr>
                <w:sz w:val="19"/>
              </w:rPr>
            </w:pPr>
            <w:r>
              <w:rPr>
                <w:sz w:val="19"/>
              </w:rPr>
              <w:t>13 Aug 1982</w:t>
            </w:r>
          </w:p>
        </w:tc>
      </w:tr>
      <w:tr>
        <w:trPr>
          <w:cantSplit/>
        </w:trPr>
        <w:tc>
          <w:tcPr>
            <w:tcW w:w="3119" w:type="dxa"/>
          </w:tcPr>
          <w:p>
            <w:pPr>
              <w:pStyle w:val="nTable"/>
              <w:spacing w:after="40"/>
              <w:ind w:right="113"/>
              <w:rPr>
                <w:sz w:val="19"/>
              </w:rPr>
            </w:pPr>
            <w:r>
              <w:rPr>
                <w:i/>
                <w:sz w:val="19"/>
              </w:rPr>
              <w:t>Evidence (Witnesses’ and Interpreters’ Fees and Expenses) Amendment Regulations 1987</w:t>
            </w:r>
          </w:p>
        </w:tc>
        <w:tc>
          <w:tcPr>
            <w:tcW w:w="1276" w:type="dxa"/>
          </w:tcPr>
          <w:p>
            <w:pPr>
              <w:pStyle w:val="nTable"/>
              <w:spacing w:after="40"/>
              <w:rPr>
                <w:sz w:val="19"/>
              </w:rPr>
            </w:pPr>
            <w:r>
              <w:rPr>
                <w:sz w:val="19"/>
              </w:rPr>
              <w:t>19 Jun 1987 p. 2387</w:t>
            </w:r>
          </w:p>
        </w:tc>
        <w:tc>
          <w:tcPr>
            <w:tcW w:w="2693" w:type="dxa"/>
          </w:tcPr>
          <w:p>
            <w:pPr>
              <w:pStyle w:val="nTable"/>
              <w:spacing w:after="40"/>
              <w:rPr>
                <w:sz w:val="19"/>
              </w:rPr>
            </w:pPr>
            <w:r>
              <w:rPr>
                <w:sz w:val="19"/>
              </w:rPr>
              <w:t>1 Jul 1987 (see r. 2)</w:t>
            </w:r>
          </w:p>
        </w:tc>
      </w:tr>
      <w:tr>
        <w:trPr>
          <w:cantSplit/>
        </w:trPr>
        <w:tc>
          <w:tcPr>
            <w:tcW w:w="3119" w:type="dxa"/>
          </w:tcPr>
          <w:p>
            <w:pPr>
              <w:pStyle w:val="nTable"/>
              <w:spacing w:after="40"/>
              <w:ind w:right="113"/>
              <w:rPr>
                <w:sz w:val="19"/>
              </w:rPr>
            </w:pPr>
            <w:r>
              <w:rPr>
                <w:i/>
                <w:sz w:val="19"/>
              </w:rPr>
              <w:t>Evidence (Witnesses’ and Interpreters’ Fees and Expenses) Amendment Regulations 1995</w:t>
            </w:r>
          </w:p>
        </w:tc>
        <w:tc>
          <w:tcPr>
            <w:tcW w:w="1276" w:type="dxa"/>
          </w:tcPr>
          <w:p>
            <w:pPr>
              <w:pStyle w:val="nTable"/>
              <w:spacing w:after="40"/>
              <w:rPr>
                <w:sz w:val="19"/>
              </w:rPr>
            </w:pPr>
            <w:r>
              <w:rPr>
                <w:sz w:val="19"/>
              </w:rPr>
              <w:t>5 Dec 1995 p. 5585</w:t>
            </w:r>
            <w:r>
              <w:rPr>
                <w:sz w:val="19"/>
              </w:rPr>
              <w:noBreakHyphen/>
              <w:t>6</w:t>
            </w:r>
          </w:p>
        </w:tc>
        <w:tc>
          <w:tcPr>
            <w:tcW w:w="2693" w:type="dxa"/>
          </w:tcPr>
          <w:p>
            <w:pPr>
              <w:pStyle w:val="nTable"/>
              <w:spacing w:after="40"/>
              <w:rPr>
                <w:sz w:val="19"/>
              </w:rPr>
            </w:pPr>
            <w:r>
              <w:rPr>
                <w:sz w:val="19"/>
              </w:rPr>
              <w:t>5 Dec 1995</w:t>
            </w:r>
          </w:p>
        </w:tc>
      </w:tr>
      <w:tr>
        <w:trPr>
          <w:cantSplit/>
        </w:trPr>
        <w:tc>
          <w:tcPr>
            <w:tcW w:w="7088" w:type="dxa"/>
            <w:gridSpan w:val="3"/>
          </w:tcPr>
          <w:p>
            <w:pPr>
              <w:pStyle w:val="nTable"/>
              <w:spacing w:after="40"/>
              <w:rPr>
                <w:sz w:val="19"/>
              </w:rPr>
            </w:pPr>
            <w:r>
              <w:rPr>
                <w:b/>
                <w:sz w:val="19"/>
              </w:rPr>
              <w:t xml:space="preserve">Reprint of the </w:t>
            </w:r>
            <w:r>
              <w:rPr>
                <w:b/>
                <w:i/>
                <w:sz w:val="19"/>
              </w:rPr>
              <w:t>Evidence (Witnesses’ and Interpreters’ Fees and Expenses) Regulations 1976</w:t>
            </w:r>
            <w:r>
              <w:rPr>
                <w:b/>
                <w:sz w:val="19"/>
              </w:rPr>
              <w:t xml:space="preserve"> as at 17 May 2002 </w:t>
            </w:r>
            <w:r>
              <w:rPr>
                <w:sz w:val="19"/>
              </w:rPr>
              <w:t>(includes amendments listed above)</w:t>
            </w:r>
          </w:p>
        </w:tc>
      </w:tr>
      <w:tr>
        <w:trPr>
          <w:cantSplit/>
        </w:trPr>
        <w:tc>
          <w:tcPr>
            <w:tcW w:w="3119" w:type="dxa"/>
          </w:tcPr>
          <w:p>
            <w:pPr>
              <w:pStyle w:val="nTable"/>
              <w:spacing w:after="40"/>
              <w:ind w:right="113"/>
              <w:rPr>
                <w:sz w:val="19"/>
              </w:rPr>
            </w:pPr>
            <w:r>
              <w:rPr>
                <w:i/>
                <w:sz w:val="19"/>
              </w:rPr>
              <w:t>Evidence (Witnesses’ and Interpreters’ Fees and Expenses) Amendment Regulations 2004</w:t>
            </w:r>
          </w:p>
        </w:tc>
        <w:tc>
          <w:tcPr>
            <w:tcW w:w="1276" w:type="dxa"/>
          </w:tcPr>
          <w:p>
            <w:pPr>
              <w:pStyle w:val="nTable"/>
              <w:spacing w:after="40"/>
              <w:rPr>
                <w:sz w:val="19"/>
              </w:rPr>
            </w:pPr>
            <w:r>
              <w:rPr>
                <w:sz w:val="19"/>
              </w:rPr>
              <w:t>31 Dec 2004 p. 7141</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Evidence (Witnesses’ and Interpreters’ Fees and Expenses) Amendment Regulations 2007</w:t>
            </w:r>
          </w:p>
        </w:tc>
        <w:tc>
          <w:tcPr>
            <w:tcW w:w="1276" w:type="dxa"/>
          </w:tcPr>
          <w:p>
            <w:pPr>
              <w:pStyle w:val="nTable"/>
              <w:spacing w:after="40"/>
              <w:rPr>
                <w:sz w:val="19"/>
              </w:rPr>
            </w:pPr>
            <w:r>
              <w:rPr>
                <w:sz w:val="19"/>
              </w:rPr>
              <w:t>31 Jul 2007 p. 3798</w:t>
            </w:r>
          </w:p>
        </w:tc>
        <w:tc>
          <w:tcPr>
            <w:tcW w:w="2693" w:type="dxa"/>
          </w:tcPr>
          <w:p>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Evidence (Witnesses’ and Interpreters’ Fees and Expenses) Regulations 1976</w:t>
            </w:r>
            <w:r>
              <w:rPr>
                <w:b/>
                <w:sz w:val="19"/>
              </w:rPr>
              <w:t xml:space="preserve"> as at 16 Nov 2007 </w:t>
            </w:r>
            <w:r>
              <w:rPr>
                <w:sz w:val="19"/>
              </w:rPr>
              <w:t>(includes amendments listed above)</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(Witnesses’ and Interpreters’ Fees and Expenses) Regulations 1976</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(Witnesses’ and Interpreters’ Fees and Expenses)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rFonts w:ascii="Helvetica" w:hAnsi="Helvetica"/>
              <w:iCs/>
              <w:spacing w:val="-4"/>
            </w:rPr>
          </w:pPr>
          <w:r>
            <w:rPr>
              <w:rFonts w:ascii="Helvetica" w:hAnsi="Helvetica"/>
              <w:iCs/>
              <w:spacing w:val="-4"/>
            </w:rPr>
            <w:fldChar w:fldCharType="begin"/>
          </w:r>
          <w:r>
            <w:rPr>
              <w:rFonts w:ascii="Helvetica" w:hAnsi="Helvetica"/>
              <w:iCs/>
              <w:spacing w:val="-4"/>
            </w:rPr>
            <w:instrText xml:space="preserve"> Styleref "Name of Act/Reg" </w:instrText>
          </w:r>
          <w:r>
            <w:rPr>
              <w:rFonts w:ascii="Helvetica" w:hAnsi="Helvetica"/>
              <w:iCs/>
              <w:spacing w:val="-4"/>
            </w:rPr>
            <w:fldChar w:fldCharType="separate"/>
          </w:r>
          <w:r>
            <w:rPr>
              <w:rFonts w:ascii="Helvetica" w:hAnsi="Helvetica"/>
              <w:iCs/>
              <w:noProof/>
              <w:spacing w:val="-4"/>
            </w:rPr>
            <w:t>Evidence (Witnesses’ and Interpreters’ Fees and Expenses) Regulations 1976</w:t>
          </w:r>
          <w:r>
            <w:rPr>
              <w:rFonts w:ascii="Helvetica" w:hAnsi="Helvetica"/>
              <w:iCs/>
              <w:spacing w:val="-4"/>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067B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68D8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16"/>
    <w:docVar w:name="WAFER_20151207172616" w:val="RemoveTrackChanges"/>
    <w:docVar w:name="WAFER_20151207172616_GUID" w:val="c3acc2db-a68c-438d-aa5b-db2fc5921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2579</Words>
  <Characters>12823</Characters>
  <Application>Microsoft Office Word</Application>
  <DocSecurity>0</DocSecurity>
  <Lines>388</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15186</CharactersWithSpaces>
  <SharedDoc>false</SharedDoc>
  <HLinks>
    <vt:vector size="6" baseType="variant">
      <vt:variant>
        <vt:i4>65542</vt:i4>
      </vt:variant>
      <vt:variant>
        <vt:i4>2751</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1976 - 02-a0-04</dc:title>
  <dc:subject/>
  <dc:creator/>
  <cp:keywords/>
  <dc:description/>
  <cp:lastModifiedBy>svcMRProcess</cp:lastModifiedBy>
  <cp:revision>4</cp:revision>
  <cp:lastPrinted>2007-11-12T04:39:00Z</cp:lastPrinted>
  <dcterms:created xsi:type="dcterms:W3CDTF">2015-12-09T02:46:00Z</dcterms:created>
  <dcterms:modified xsi:type="dcterms:W3CDTF">2015-12-09T02:46:00Z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20071116</vt:lpwstr>
  </property>
  <property fmtid="{D5CDD505-2E9C-101B-9397-08002B2CF9AE}" pid="4" name="DocumentType">
    <vt:lpwstr>Reg</vt:lpwstr>
  </property>
  <property fmtid="{D5CDD505-2E9C-101B-9397-08002B2CF9AE}" pid="5" name="OwlsUID">
    <vt:i4>4426</vt:i4>
  </property>
  <property fmtid="{D5CDD505-2E9C-101B-9397-08002B2CF9AE}" pid="6" name="ReprintedAsAt">
    <vt:filetime>2007-11-15T15:00:00Z</vt:filetime>
  </property>
  <property fmtid="{D5CDD505-2E9C-101B-9397-08002B2CF9AE}" pid="7" name="ReprintNo">
    <vt:lpwstr>2</vt:lpwstr>
  </property>
  <property fmtid="{D5CDD505-2E9C-101B-9397-08002B2CF9AE}" pid="8" name="AsAtDate">
    <vt:lpwstr>16 Nov 2007</vt:lpwstr>
  </property>
  <property fmtid="{D5CDD505-2E9C-101B-9397-08002B2CF9AE}" pid="9" name="Suffix">
    <vt:lpwstr>02-a0-04</vt:lpwstr>
  </property>
</Properties>
</file>