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Regulations 1993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_Toc186536253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_Toc186536254 \h </w:instrText>
      </w:r>
      <w:r>
        <w:fldChar w:fldCharType="separate"/>
      </w:r>
      <w:r>
        <w:t>1</w:t>
      </w:r>
      <w:r>
        <w:fldChar w:fldCharType="end"/>
      </w:r>
    </w:p>
    <w:p>
      <w:pPr>
        <w:pStyle w:val="TOC8"/>
        <w:rPr>
          <w:sz w:val="24"/>
          <w:szCs w:val="24"/>
        </w:rPr>
      </w:pPr>
      <w:r>
        <w:rPr>
          <w:szCs w:val="24"/>
        </w:rPr>
        <w:t>2A</w:t>
      </w:r>
      <w:r>
        <w:rPr>
          <w:snapToGrid w:val="0"/>
          <w:szCs w:val="24"/>
        </w:rPr>
        <w:t xml:space="preserve">. </w:t>
      </w:r>
      <w:r>
        <w:rPr>
          <w:snapToGrid w:val="0"/>
          <w:szCs w:val="24"/>
        </w:rPr>
        <w:tab/>
        <w:t>Interpretation</w:t>
      </w:r>
      <w:r>
        <w:tab/>
      </w:r>
      <w:r>
        <w:fldChar w:fldCharType="begin"/>
      </w:r>
      <w:r>
        <w:instrText xml:space="preserve"> PAGEREF _Toc186536255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General provisions relating to charges</w:t>
      </w:r>
      <w:r>
        <w:tab/>
      </w:r>
      <w:r>
        <w:fldChar w:fldCharType="begin"/>
      </w:r>
      <w:r>
        <w:instrText xml:space="preserve"> PAGEREF _Toc186536256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Application fee (section 12 (1) (e))</w:t>
      </w:r>
      <w:r>
        <w:tab/>
      </w:r>
      <w:r>
        <w:fldChar w:fldCharType="begin"/>
      </w:r>
      <w:r>
        <w:instrText xml:space="preserve"> PAGEREF _Toc186536257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Charges (section 16 (1))</w:t>
      </w:r>
      <w:r>
        <w:tab/>
      </w:r>
      <w:r>
        <w:fldChar w:fldCharType="begin"/>
      </w:r>
      <w:r>
        <w:instrText xml:space="preserve"> PAGEREF _Toc186536258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Advance deposits (section 18 (1) and (4))</w:t>
      </w:r>
      <w:r>
        <w:tab/>
      </w:r>
      <w:r>
        <w:fldChar w:fldCharType="begin"/>
      </w:r>
      <w:r>
        <w:instrText xml:space="preserve"> PAGEREF _Toc186536259 \h </w:instrText>
      </w:r>
      <w:r>
        <w:fldChar w:fldCharType="separate"/>
      </w:r>
      <w:r>
        <w:t>2</w:t>
      </w:r>
      <w:r>
        <w:fldChar w:fldCharType="end"/>
      </w:r>
    </w:p>
    <w:p>
      <w:pPr>
        <w:pStyle w:val="TOC8"/>
        <w:rPr>
          <w:sz w:val="24"/>
          <w:szCs w:val="24"/>
        </w:rPr>
      </w:pPr>
      <w:r>
        <w:rPr>
          <w:szCs w:val="24"/>
        </w:rPr>
        <w:t>7</w:t>
      </w:r>
      <w:r>
        <w:rPr>
          <w:snapToGrid w:val="0"/>
          <w:szCs w:val="24"/>
        </w:rPr>
        <w:t xml:space="preserve">. </w:t>
      </w:r>
      <w:r>
        <w:rPr>
          <w:snapToGrid w:val="0"/>
          <w:szCs w:val="24"/>
        </w:rPr>
        <w:tab/>
        <w:t>“Suitably qualified person” defined (section 28)</w:t>
      </w:r>
      <w:r>
        <w:tab/>
      </w:r>
      <w:r>
        <w:fldChar w:fldCharType="begin"/>
      </w:r>
      <w:r>
        <w:instrText xml:space="preserve"> PAGEREF _Toc186536260 \h </w:instrText>
      </w:r>
      <w:r>
        <w:fldChar w:fldCharType="separate"/>
      </w:r>
      <w:r>
        <w:t>2</w:t>
      </w:r>
      <w:r>
        <w:fldChar w:fldCharType="end"/>
      </w:r>
    </w:p>
    <w:p>
      <w:pPr>
        <w:pStyle w:val="TOC8"/>
        <w:rPr>
          <w:sz w:val="24"/>
          <w:szCs w:val="24"/>
        </w:rPr>
      </w:pPr>
      <w:r>
        <w:rPr>
          <w:szCs w:val="24"/>
        </w:rPr>
        <w:t>8</w:t>
      </w:r>
      <w:r>
        <w:rPr>
          <w:snapToGrid w:val="0"/>
          <w:szCs w:val="24"/>
        </w:rPr>
        <w:t xml:space="preserve">. </w:t>
      </w:r>
      <w:r>
        <w:rPr>
          <w:snapToGrid w:val="0"/>
          <w:szCs w:val="24"/>
        </w:rPr>
        <w:tab/>
        <w:t>Information or details to be included in a complaint (section 66 (1) (d))</w:t>
      </w:r>
      <w:r>
        <w:tab/>
      </w:r>
      <w:r>
        <w:fldChar w:fldCharType="begin"/>
      </w:r>
      <w:r>
        <w:instrText xml:space="preserve"> PAGEREF _Toc186536261 \h </w:instrText>
      </w:r>
      <w:r>
        <w:fldChar w:fldCharType="separate"/>
      </w:r>
      <w:r>
        <w:t>3</w:t>
      </w:r>
      <w:r>
        <w:fldChar w:fldCharType="end"/>
      </w:r>
    </w:p>
    <w:p>
      <w:pPr>
        <w:pStyle w:val="TOC8"/>
        <w:rPr>
          <w:sz w:val="24"/>
          <w:szCs w:val="24"/>
        </w:rPr>
      </w:pPr>
      <w:r>
        <w:rPr>
          <w:szCs w:val="24"/>
        </w:rPr>
        <w:t>9</w:t>
      </w:r>
      <w:r>
        <w:rPr>
          <w:snapToGrid w:val="0"/>
          <w:szCs w:val="24"/>
        </w:rPr>
        <w:t xml:space="preserve">. </w:t>
      </w:r>
      <w:r>
        <w:rPr>
          <w:snapToGrid w:val="0"/>
          <w:szCs w:val="24"/>
        </w:rPr>
        <w:tab/>
        <w:t>Prescribed personal details (Schedule 1, clause 3 of the Act)</w:t>
      </w:r>
      <w:r>
        <w:tab/>
      </w:r>
      <w:r>
        <w:fldChar w:fldCharType="begin"/>
      </w:r>
      <w:r>
        <w:instrText xml:space="preserve"> PAGEREF _Toc186536262 \h </w:instrText>
      </w:r>
      <w:r>
        <w:fldChar w:fldCharType="separate"/>
      </w:r>
      <w:r>
        <w:t>3</w:t>
      </w:r>
      <w:r>
        <w:fldChar w:fldCharType="end"/>
      </w:r>
    </w:p>
    <w:p>
      <w:pPr>
        <w:pStyle w:val="TOC8"/>
        <w:rPr>
          <w:sz w:val="24"/>
          <w:szCs w:val="24"/>
        </w:rPr>
      </w:pPr>
      <w:r>
        <w:rPr>
          <w:szCs w:val="24"/>
        </w:rPr>
        <w:t>10</w:t>
      </w:r>
      <w:r>
        <w:rPr>
          <w:snapToGrid w:val="0"/>
          <w:szCs w:val="24"/>
        </w:rPr>
        <w:t xml:space="preserve">. </w:t>
      </w:r>
      <w:r>
        <w:rPr>
          <w:snapToGrid w:val="0"/>
          <w:szCs w:val="24"/>
        </w:rPr>
        <w:tab/>
        <w:t>Specified bodies, etc., to be regarded as part of other agencies</w:t>
      </w:r>
      <w:r>
        <w:tab/>
      </w:r>
      <w:r>
        <w:fldChar w:fldCharType="begin"/>
      </w:r>
      <w:r>
        <w:instrText xml:space="preserve"> PAGEREF _Toc186536263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Offices and bodies to be regarded as part of other agencies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_Toc186536267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FREEDOM OF INFORMATION ACT 1992</w:t>
      </w:r>
    </w:p>
    <w:p>
      <w:pPr>
        <w:pStyle w:val="PrincipalActReg"/>
        <w:rPr>
          <w:snapToGrid w:val="0"/>
        </w:rPr>
      </w:pPr>
      <w:r>
        <w:rPr>
          <w:snapToGrid w:val="0"/>
        </w:rPr>
        <w:t>INTERPRETATION ACT 1984</w:t>
      </w:r>
    </w:p>
    <w:p>
      <w:pPr>
        <w:pStyle w:val="NameofActReg"/>
      </w:pPr>
      <w:r>
        <w:t>Freedom of Information Regulations 1993</w:t>
      </w:r>
    </w:p>
    <w:p>
      <w:pPr>
        <w:pStyle w:val="MadeBy"/>
        <w:rPr>
          <w:snapToGrid w:val="0"/>
        </w:rPr>
      </w:pPr>
      <w:r>
        <w:rPr>
          <w:snapToGrid w:val="0"/>
        </w:rPr>
        <w:t xml:space="preserve">Made by the deputy of the Governor in Executive Council under section 112 of the </w:t>
      </w:r>
      <w:r>
        <w:rPr>
          <w:i/>
          <w:snapToGrid w:val="0"/>
        </w:rPr>
        <w:t>Freedom of Information Act 1992</w:t>
      </w:r>
      <w:r>
        <w:rPr>
          <w:snapToGrid w:val="0"/>
        </w:rPr>
        <w:t xml:space="preserve"> and section 25 of the </w:t>
      </w:r>
      <w:r>
        <w:rPr>
          <w:i/>
          <w:snapToGrid w:val="0"/>
        </w:rPr>
        <w:t>Interpretation Act 1984</w:t>
      </w:r>
      <w:r>
        <w:rPr>
          <w:snapToGrid w:val="0"/>
        </w:rPr>
        <w:t>.</w:t>
      </w:r>
    </w:p>
    <w:p>
      <w:pPr>
        <w:pStyle w:val="Heading5"/>
        <w:rPr>
          <w:snapToGrid w:val="0"/>
        </w:rPr>
      </w:pPr>
      <w:bookmarkStart w:id="2" w:name="_Toc440186468"/>
      <w:bookmarkStart w:id="3" w:name="_Toc154984534"/>
      <w:bookmarkStart w:id="4" w:name="_Toc186536253"/>
      <w:r>
        <w:rPr>
          <w:rStyle w:val="CharSectno"/>
        </w:rPr>
        <w:t>1</w:t>
      </w:r>
      <w:r>
        <w:rPr>
          <w:snapToGrid w:val="0"/>
        </w:rPr>
        <w:t xml:space="preserve">. </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5" w:name="_Toc440186469"/>
      <w:bookmarkStart w:id="6" w:name="_Toc154984535"/>
      <w:bookmarkStart w:id="7" w:name="_Toc186536254"/>
      <w:r>
        <w:rPr>
          <w:rStyle w:val="CharSectno"/>
        </w:rPr>
        <w:t>2</w:t>
      </w:r>
      <w:r>
        <w:rPr>
          <w:snapToGrid w:val="0"/>
        </w:rPr>
        <w:t xml:space="preserve">. </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Footnotesection"/>
      </w:pPr>
      <w:r>
        <w:tab/>
        <w:t xml:space="preserve">[* Act No. 76 of 1992.] </w:t>
      </w:r>
    </w:p>
    <w:p>
      <w:pPr>
        <w:pStyle w:val="Heading5"/>
        <w:rPr>
          <w:snapToGrid w:val="0"/>
        </w:rPr>
      </w:pPr>
      <w:bookmarkStart w:id="8" w:name="_Toc440186470"/>
      <w:bookmarkStart w:id="9" w:name="_Toc154984536"/>
      <w:bookmarkStart w:id="10" w:name="_Toc186536255"/>
      <w:r>
        <w:rPr>
          <w:rStyle w:val="CharSectno"/>
        </w:rPr>
        <w:t>2A</w:t>
      </w:r>
      <w:r>
        <w:rPr>
          <w:snapToGrid w:val="0"/>
        </w:rPr>
        <w:t xml:space="preserve">. </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“non</w:t>
      </w:r>
      <w:r>
        <w:rPr>
          <w:b/>
        </w:rPr>
        <w:noBreakHyphen/>
        <w:t>personal information”</w:t>
      </w:r>
      <w:r>
        <w:t xml:space="preserve"> means information that is not personal information about the applicant.</w:t>
      </w:r>
    </w:p>
    <w:p>
      <w:pPr>
        <w:pStyle w:val="Footnotesection"/>
      </w:pPr>
      <w:r>
        <w:tab/>
        <w:t xml:space="preserve">[Regulation 2A inserted by Gazette 30 September 1994 p.4983.] </w:t>
      </w:r>
    </w:p>
    <w:p>
      <w:pPr>
        <w:pStyle w:val="Heading5"/>
        <w:rPr>
          <w:snapToGrid w:val="0"/>
        </w:rPr>
      </w:pPr>
      <w:bookmarkStart w:id="11" w:name="_Toc440186471"/>
      <w:bookmarkStart w:id="12" w:name="_Toc154984537"/>
      <w:bookmarkStart w:id="13" w:name="_Toc186536256"/>
      <w:r>
        <w:rPr>
          <w:rStyle w:val="CharSectno"/>
        </w:rPr>
        <w:t>3</w:t>
      </w:r>
      <w:r>
        <w:rPr>
          <w:snapToGrid w:val="0"/>
        </w:rPr>
        <w:t xml:space="preserve">. </w:t>
      </w:r>
      <w:r>
        <w:rPr>
          <w:snapToGrid w:val="0"/>
        </w:rPr>
        <w:tab/>
        <w:t>General provisions relating to charges</w:t>
      </w:r>
      <w:bookmarkEnd w:id="11"/>
      <w:bookmarkEnd w:id="12"/>
      <w:bookmarkEnd w:id="13"/>
      <w:r>
        <w:rPr>
          <w:snapToGrid w:val="0"/>
        </w:rPr>
        <w:t xml:space="preserve"> </w:t>
      </w:r>
    </w:p>
    <w:p>
      <w:pPr>
        <w:pStyle w:val="Subsection"/>
        <w:rPr>
          <w:snapToGrid w:val="0"/>
        </w:rPr>
      </w:pPr>
      <w:r>
        <w:rPr>
          <w:snapToGrid w:val="0"/>
        </w:rPr>
        <w:tab/>
      </w:r>
      <w:r>
        <w:rPr>
          <w:snapToGrid w:val="0"/>
        </w:rPr>
        <w:tab/>
        <w:t>For an applicant who is —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4" w:name="_Toc440186472"/>
      <w:bookmarkStart w:id="15" w:name="_Toc154984538"/>
      <w:bookmarkStart w:id="16" w:name="_Toc186536257"/>
      <w:r>
        <w:rPr>
          <w:rStyle w:val="CharSectno"/>
        </w:rPr>
        <w:t>4</w:t>
      </w:r>
      <w:r>
        <w:rPr>
          <w:snapToGrid w:val="0"/>
        </w:rPr>
        <w:t xml:space="preserve">. </w:t>
      </w:r>
      <w:r>
        <w:rPr>
          <w:snapToGrid w:val="0"/>
        </w:rPr>
        <w:tab/>
        <w:t>Application fee (section 12 (1) (e))</w:t>
      </w:r>
      <w:bookmarkEnd w:id="14"/>
      <w:bookmarkEnd w:id="15"/>
      <w:bookmarkEnd w:id="16"/>
      <w:r>
        <w:rPr>
          <w:snapToGrid w:val="0"/>
        </w:rPr>
        <w:t xml:space="preserve"> </w:t>
      </w:r>
    </w:p>
    <w:p>
      <w:pPr>
        <w:pStyle w:val="Subsection"/>
        <w:rPr>
          <w:snapToGrid w:val="0"/>
        </w:rPr>
      </w:pPr>
      <w:r>
        <w:rPr>
          <w:snapToGrid w:val="0"/>
        </w:rPr>
        <w:tab/>
      </w:r>
      <w:r>
        <w:rPr>
          <w:snapToGrid w:val="0"/>
        </w:rPr>
        <w:tab/>
        <w:t>The fee in column 2 of item 1 of Schedule 1 is prescribed as the application fee payable under section 12 (1) (e) of the Act, for an application for non</w:t>
      </w:r>
      <w:r>
        <w:rPr>
          <w:snapToGrid w:val="0"/>
        </w:rPr>
        <w:noBreakHyphen/>
        <w:t>personal information.</w:t>
      </w:r>
    </w:p>
    <w:p>
      <w:pPr>
        <w:pStyle w:val="Footnotesection"/>
      </w:pPr>
      <w:r>
        <w:tab/>
        <w:t xml:space="preserve">[Regulation 4 amended by Gazette 12 November 1993 p.6202; 30 September 1994 p.4983.] </w:t>
      </w:r>
    </w:p>
    <w:p>
      <w:pPr>
        <w:pStyle w:val="Heading5"/>
        <w:rPr>
          <w:snapToGrid w:val="0"/>
        </w:rPr>
      </w:pPr>
      <w:bookmarkStart w:id="17" w:name="_Toc440186473"/>
      <w:bookmarkStart w:id="18" w:name="_Toc154984539"/>
      <w:bookmarkStart w:id="19" w:name="_Toc186536258"/>
      <w:r>
        <w:rPr>
          <w:rStyle w:val="CharSectno"/>
        </w:rPr>
        <w:t>5</w:t>
      </w:r>
      <w:r>
        <w:rPr>
          <w:snapToGrid w:val="0"/>
        </w:rPr>
        <w:t xml:space="preserve">. </w:t>
      </w:r>
      <w:r>
        <w:rPr>
          <w:snapToGrid w:val="0"/>
        </w:rPr>
        <w:tab/>
        <w:t>Charges (section 16 (1))</w:t>
      </w:r>
      <w:bookmarkEnd w:id="17"/>
      <w:bookmarkEnd w:id="18"/>
      <w:bookmarkEnd w:id="19"/>
      <w:r>
        <w:rPr>
          <w:snapToGrid w:val="0"/>
        </w:rPr>
        <w:t xml:space="preserve"> </w:t>
      </w:r>
    </w:p>
    <w:p>
      <w:pPr>
        <w:pStyle w:val="Subsection"/>
        <w:rPr>
          <w:snapToGrid w:val="0"/>
        </w:rPr>
      </w:pPr>
      <w:r>
        <w:rPr>
          <w:snapToGrid w:val="0"/>
        </w:rPr>
        <w:tab/>
      </w:r>
      <w:r>
        <w:rPr>
          <w:snapToGrid w:val="0"/>
        </w:rPr>
        <w:tab/>
        <w:t>The charges set out in column 2 of item 2 of Schedule 1 are prescribed as payable under section 16 (1) of the Act for the purposes set out opposite those charges in column 1 of that item.</w:t>
      </w:r>
    </w:p>
    <w:p>
      <w:pPr>
        <w:pStyle w:val="Footnotesection"/>
      </w:pPr>
      <w:r>
        <w:tab/>
        <w:t xml:space="preserve">[Regulation 5 amended by Gazette 30 September 1994 p.4983.] </w:t>
      </w:r>
    </w:p>
    <w:p>
      <w:pPr>
        <w:pStyle w:val="Heading5"/>
        <w:rPr>
          <w:snapToGrid w:val="0"/>
        </w:rPr>
      </w:pPr>
      <w:bookmarkStart w:id="20" w:name="_Toc440186474"/>
      <w:bookmarkStart w:id="21" w:name="_Toc154984540"/>
      <w:bookmarkStart w:id="22" w:name="_Toc186536259"/>
      <w:r>
        <w:rPr>
          <w:rStyle w:val="CharSectno"/>
        </w:rPr>
        <w:t>6</w:t>
      </w:r>
      <w:r>
        <w:rPr>
          <w:snapToGrid w:val="0"/>
        </w:rPr>
        <w:t xml:space="preserve">. </w:t>
      </w:r>
      <w:r>
        <w:rPr>
          <w:snapToGrid w:val="0"/>
        </w:rPr>
        <w:tab/>
        <w:t>Advance deposits (section 18 (1) and (4))</w:t>
      </w:r>
      <w:bookmarkEnd w:id="20"/>
      <w:bookmarkEnd w:id="21"/>
      <w:bookmarkEnd w:id="22"/>
      <w:r>
        <w:rPr>
          <w:snapToGrid w:val="0"/>
        </w:rPr>
        <w:t xml:space="preserve"> </w:t>
      </w:r>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 xml:space="preserve">[Regulation 6 amended by Gazette 30 September 1994 p.4983.] </w:t>
      </w:r>
    </w:p>
    <w:p>
      <w:pPr>
        <w:pStyle w:val="Heading5"/>
        <w:rPr>
          <w:snapToGrid w:val="0"/>
        </w:rPr>
      </w:pPr>
      <w:bookmarkStart w:id="23" w:name="_Toc440186475"/>
      <w:bookmarkStart w:id="24" w:name="_Toc154984541"/>
      <w:bookmarkStart w:id="25" w:name="_Toc186536260"/>
      <w:r>
        <w:rPr>
          <w:rStyle w:val="CharSectno"/>
        </w:rPr>
        <w:t>7</w:t>
      </w:r>
      <w:r>
        <w:rPr>
          <w:snapToGrid w:val="0"/>
        </w:rPr>
        <w:t xml:space="preserve">. </w:t>
      </w:r>
      <w:r>
        <w:rPr>
          <w:snapToGrid w:val="0"/>
        </w:rPr>
        <w:tab/>
        <w:t>“Suitably qualified person” defined (section 28)</w:t>
      </w:r>
      <w:bookmarkEnd w:id="23"/>
      <w:bookmarkEnd w:id="24"/>
      <w:bookmarkEnd w:id="25"/>
      <w:r>
        <w:rPr>
          <w:snapToGrid w:val="0"/>
        </w:rPr>
        <w:t xml:space="preserve"> </w:t>
      </w:r>
    </w:p>
    <w:p>
      <w:pPr>
        <w:pStyle w:val="Subsection"/>
        <w:rPr>
          <w:snapToGrid w:val="0"/>
        </w:rPr>
      </w:pPr>
      <w:r>
        <w:rPr>
          <w:snapToGrid w:val="0"/>
        </w:rPr>
        <w:tab/>
      </w:r>
      <w:r>
        <w:rPr>
          <w:snapToGrid w:val="0"/>
        </w:rPr>
        <w:tab/>
        <w:t>For the purposes of section 28 of the Act — </w:t>
      </w:r>
    </w:p>
    <w:p>
      <w:pPr>
        <w:pStyle w:val="Defstart"/>
      </w:pPr>
      <w:r>
        <w:rPr>
          <w:b/>
        </w:rPr>
        <w:tab/>
        <w:t>“suitably qualified person”</w:t>
      </w:r>
      <w:r>
        <w:t xml:space="preserve"> means a medical practitioner within the meaning of the </w:t>
      </w:r>
      <w:r>
        <w:rPr>
          <w:i/>
        </w:rPr>
        <w:t>Medical Act 1894</w:t>
      </w:r>
      <w:r>
        <w:t>.</w:t>
      </w:r>
    </w:p>
    <w:p>
      <w:pPr>
        <w:pStyle w:val="Heading5"/>
        <w:rPr>
          <w:snapToGrid w:val="0"/>
        </w:rPr>
      </w:pPr>
      <w:bookmarkStart w:id="26" w:name="_Toc440186476"/>
      <w:bookmarkStart w:id="27" w:name="_Toc154984542"/>
      <w:bookmarkStart w:id="28" w:name="_Toc186536261"/>
      <w:r>
        <w:rPr>
          <w:rStyle w:val="CharSectno"/>
        </w:rPr>
        <w:t>8</w:t>
      </w:r>
      <w:r>
        <w:rPr>
          <w:snapToGrid w:val="0"/>
        </w:rPr>
        <w:t xml:space="preserve">. </w:t>
      </w:r>
      <w:r>
        <w:rPr>
          <w:snapToGrid w:val="0"/>
        </w:rPr>
        <w:tab/>
        <w:t>Information or details to be included in a complaint (section 66 (1) (d))</w:t>
      </w:r>
      <w:bookmarkEnd w:id="26"/>
      <w:bookmarkEnd w:id="27"/>
      <w:bookmarkEnd w:id="28"/>
      <w:r>
        <w:rPr>
          <w:snapToGrid w:val="0"/>
        </w:rPr>
        <w:t xml:space="preserve"> </w:t>
      </w:r>
    </w:p>
    <w:p>
      <w:pPr>
        <w:pStyle w:val="Subsection"/>
        <w:rPr>
          <w:snapToGrid w:val="0"/>
        </w:rPr>
      </w:pPr>
      <w:r>
        <w:rPr>
          <w:snapToGrid w:val="0"/>
        </w:rPr>
        <w:tab/>
      </w:r>
      <w:r>
        <w:rPr>
          <w:snapToGrid w:val="0"/>
        </w:rPr>
        <w:tab/>
        <w:t>For the purposes of section 66 (1) (d) of the Act, a complaint made against an agency’s decision under section 65 (1) of the Act is to be accompanied by a copy of the agency’s notice of it’s decision, unless the decision complained of is the result of the non</w:t>
      </w:r>
      <w:r>
        <w:rPr>
          <w:snapToGrid w:val="0"/>
        </w:rPr>
        <w:noBreakHyphen/>
        <w:t>receipt of a decision under section 13 (2) of the Act.</w:t>
      </w:r>
    </w:p>
    <w:p>
      <w:pPr>
        <w:pStyle w:val="Heading5"/>
        <w:rPr>
          <w:snapToGrid w:val="0"/>
        </w:rPr>
      </w:pPr>
      <w:bookmarkStart w:id="29" w:name="_Toc440186477"/>
      <w:bookmarkStart w:id="30" w:name="_Toc154984543"/>
      <w:bookmarkStart w:id="31" w:name="_Toc186536262"/>
      <w:r>
        <w:rPr>
          <w:rStyle w:val="CharSectno"/>
        </w:rPr>
        <w:t>9</w:t>
      </w:r>
      <w:r>
        <w:rPr>
          <w:snapToGrid w:val="0"/>
        </w:rPr>
        <w:t xml:space="preserve">. </w:t>
      </w:r>
      <w:r>
        <w:rPr>
          <w:snapToGrid w:val="0"/>
        </w:rPr>
        <w:tab/>
        <w:t>Prescribed personal details (Schedule 1, clause 3 of the Act)</w:t>
      </w:r>
      <w:bookmarkEnd w:id="29"/>
      <w:bookmarkEnd w:id="30"/>
      <w:bookmarkEnd w:id="31"/>
      <w:r>
        <w:rPr>
          <w:snapToGrid w:val="0"/>
        </w:rPr>
        <w:t xml:space="preserve"> </w:t>
      </w:r>
    </w:p>
    <w:p>
      <w:pPr>
        <w:pStyle w:val="Subsection"/>
        <w:rPr>
          <w:snapToGrid w:val="0"/>
        </w:rPr>
      </w:pPr>
      <w:r>
        <w:rPr>
          <w:snapToGrid w:val="0"/>
        </w:rPr>
        <w:tab/>
        <w:t>(1)</w:t>
      </w:r>
      <w:r>
        <w:rPr>
          <w:snapToGrid w:val="0"/>
        </w:rPr>
        <w:tab/>
        <w:t>In relation to a person who is or has been an officer of an agency,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 (3)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 (4) of the Act.</w:t>
      </w:r>
    </w:p>
    <w:p>
      <w:pPr>
        <w:pStyle w:val="Footnotesection"/>
      </w:pPr>
      <w:r>
        <w:tab/>
        <w:t>[Regulation 9 inserted by Gazette 30 September 1994 pp.4983</w:t>
      </w:r>
      <w:r>
        <w:noBreakHyphen/>
        <w:t xml:space="preserve">84.] </w:t>
      </w:r>
    </w:p>
    <w:p>
      <w:pPr>
        <w:pStyle w:val="Heading5"/>
        <w:rPr>
          <w:snapToGrid w:val="0"/>
        </w:rPr>
      </w:pPr>
      <w:bookmarkStart w:id="32" w:name="_Toc440186478"/>
      <w:bookmarkStart w:id="33" w:name="_Toc154984544"/>
      <w:bookmarkStart w:id="34" w:name="_Toc186536263"/>
      <w:r>
        <w:rPr>
          <w:rStyle w:val="CharSectno"/>
        </w:rPr>
        <w:t>10</w:t>
      </w:r>
      <w:r>
        <w:rPr>
          <w:snapToGrid w:val="0"/>
        </w:rPr>
        <w:t xml:space="preserve">. </w:t>
      </w:r>
      <w:r>
        <w:rPr>
          <w:snapToGrid w:val="0"/>
        </w:rPr>
        <w:tab/>
        <w:t>Specified bodies, etc., to be regarded as part of other agencies</w:t>
      </w:r>
      <w:bookmarkEnd w:id="32"/>
      <w:bookmarkEnd w:id="33"/>
      <w:bookmarkEnd w:id="34"/>
      <w:r>
        <w:rPr>
          <w:snapToGrid w:val="0"/>
        </w:rPr>
        <w:t xml:space="preserve"> </w:t>
      </w:r>
    </w:p>
    <w:p>
      <w:pPr>
        <w:pStyle w:val="Subsection"/>
        <w:rPr>
          <w:snapToGrid w:val="0"/>
        </w:rPr>
      </w:pPr>
      <w:r>
        <w:rPr>
          <w:snapToGrid w:val="0"/>
        </w:rPr>
        <w:tab/>
      </w:r>
      <w:r>
        <w:rPr>
          <w:snapToGrid w:val="0"/>
        </w:rPr>
        <w:tab/>
        <w:t>Under Schedule 2, clause 2 (4)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 xml:space="preserve">[Regulation 10 inserted by Gazette 30 September 1994 p.4984.]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 w:name="_Toc154984545"/>
      <w:bookmarkStart w:id="36" w:name="_Toc154984791"/>
      <w:bookmarkStart w:id="37" w:name="_Toc154986178"/>
      <w:bookmarkStart w:id="38" w:name="_Toc154986238"/>
      <w:bookmarkStart w:id="39" w:name="_Toc155069567"/>
      <w:bookmarkStart w:id="40" w:name="_Toc155069679"/>
      <w:bookmarkStart w:id="41" w:name="_Toc186531018"/>
      <w:bookmarkStart w:id="42" w:name="_Toc186536182"/>
      <w:bookmarkStart w:id="43" w:name="_Toc186536264"/>
      <w:r>
        <w:rPr>
          <w:rStyle w:val="CharSchNo"/>
        </w:rPr>
        <w:t>Schedule 1</w:t>
      </w:r>
      <w:bookmarkEnd w:id="35"/>
      <w:bookmarkEnd w:id="36"/>
      <w:bookmarkEnd w:id="37"/>
      <w:bookmarkEnd w:id="38"/>
      <w:bookmarkEnd w:id="39"/>
      <w:bookmarkEnd w:id="40"/>
      <w:bookmarkEnd w:id="41"/>
      <w:bookmarkEnd w:id="42"/>
      <w:bookmarkEnd w:id="43"/>
    </w:p>
    <w:p>
      <w:pPr>
        <w:pStyle w:val="yFootnoteheading"/>
        <w:rPr>
          <w:snapToGrid w:val="0"/>
        </w:rPr>
      </w:pPr>
      <w:r>
        <w:rPr>
          <w:snapToGrid w:val="0"/>
        </w:rPr>
        <w:tab/>
        <w:t>[Heading amended by Gazette 30 September 1994 p.4984.]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c>
          <w:tcPr>
            <w:tcW w:w="7196" w:type="dxa"/>
            <w:tcBorders>
              <w:top w:val="single" w:sz="4" w:space="0" w:color="auto"/>
              <w:bottom w:val="single" w:sz="4" w:space="0" w:color="auto"/>
            </w:tcBorders>
          </w:tcPr>
          <w:p>
            <w:pPr>
              <w:pStyle w:val="yTable"/>
              <w:tabs>
                <w:tab w:val="left" w:pos="5670"/>
              </w:tabs>
            </w:pPr>
            <w:r>
              <w:t>Column 1</w:t>
            </w:r>
            <w:r>
              <w:tab/>
              <w:t>Column 2</w:t>
            </w:r>
          </w:p>
        </w:tc>
      </w:tr>
      <w:tr>
        <w:tc>
          <w:tcPr>
            <w:tcW w:w="7196" w:type="dxa"/>
          </w:tcPr>
          <w:p>
            <w:pPr>
              <w:pStyle w:val="yTable"/>
              <w:tabs>
                <w:tab w:val="left" w:pos="567"/>
                <w:tab w:val="left" w:pos="5954"/>
              </w:tabs>
            </w:pPr>
            <w:r>
              <w:t>1.</w:t>
            </w:r>
            <w:r>
              <w:tab/>
            </w:r>
            <w:r>
              <w:rPr>
                <w:u w:val="single"/>
              </w:rPr>
              <w:t>Type of Fee</w:t>
            </w:r>
            <w:r>
              <w:tab/>
              <w:t>$</w:t>
            </w:r>
          </w:p>
        </w:tc>
      </w:tr>
      <w:tr>
        <w:tc>
          <w:tcPr>
            <w:tcW w:w="7196" w:type="dxa"/>
          </w:tcPr>
          <w:p>
            <w:pPr>
              <w:pStyle w:val="yTable"/>
              <w:tabs>
                <w:tab w:val="left" w:pos="5954"/>
              </w:tabs>
              <w:ind w:left="567"/>
            </w:pPr>
            <w:r>
              <w:t xml:space="preserve">Application fee under section 12 (1) (e) of the Act (for an </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pPr>
            <w:r>
              <w:t>2.</w:t>
            </w:r>
            <w:r>
              <w:tab/>
            </w:r>
            <w:r>
              <w:rPr>
                <w:u w:val="single"/>
              </w:rPr>
              <w:t>Type of Charge</w:t>
            </w:r>
            <w:r>
              <w:tab/>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 xml:space="preserve">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w:t>
            </w:r>
            <w:r>
              <w:tab/>
              <w:t>30</w:t>
            </w:r>
          </w:p>
        </w:tc>
      </w:tr>
      <w:tr>
        <w:tc>
          <w:tcPr>
            <w:tcW w:w="7196" w:type="dxa"/>
          </w:tcPr>
          <w:p>
            <w:pPr>
              <w:pStyle w:val="yTable"/>
              <w:tabs>
                <w:tab w:val="left" w:pos="5954"/>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954"/>
              </w:tabs>
              <w:ind w:left="1134" w:hanging="567"/>
            </w:pPr>
            <w:r>
              <w:t>(f)</w:t>
            </w:r>
            <w:r>
              <w:tab/>
              <w:t>Charge for delivery, packaging and postage…….</w:t>
            </w:r>
            <w:r>
              <w:tab/>
              <w:t>Actual Cost</w:t>
            </w:r>
          </w:p>
        </w:tc>
      </w:tr>
      <w:tr>
        <w:tc>
          <w:tcPr>
            <w:tcW w:w="7196" w:type="dxa"/>
          </w:tcPr>
          <w:p>
            <w:pPr>
              <w:pStyle w:val="yTable"/>
              <w:tabs>
                <w:tab w:val="left" w:pos="567"/>
                <w:tab w:val="left" w:pos="5954"/>
              </w:tabs>
            </w:pPr>
            <w: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 (1)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tabs>
                <w:tab w:val="left" w:pos="5954"/>
              </w:tabs>
              <w:ind w:left="1134" w:hanging="567"/>
            </w:pPr>
            <w:r>
              <w:t>(b)</w:t>
            </w:r>
            <w:r>
              <w:tab/>
              <w:t xml:space="preserve">Further advance deposit which may be required </w:t>
            </w:r>
            <w:r>
              <w:br/>
              <w:t xml:space="preserve">by an agency under section 18 (4)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amended in Gazettes 12 Nov 1993 p. 6202; 30 Sep 1994 p. 4984.]</w:t>
      </w:r>
    </w:p>
    <w:p>
      <w:pPr>
        <w:pStyle w:val="yScheduleHeading"/>
      </w:pPr>
      <w:bookmarkStart w:id="44" w:name="_Toc186536183"/>
      <w:bookmarkStart w:id="45" w:name="_Toc186536265"/>
      <w:r>
        <w:rPr>
          <w:rStyle w:val="CharSchNo"/>
        </w:rPr>
        <w:t>Schedule 2</w:t>
      </w:r>
      <w:r>
        <w:t> — </w:t>
      </w:r>
      <w:r>
        <w:rPr>
          <w:rStyle w:val="CharSchText"/>
        </w:rPr>
        <w:t>Offices and bodies to be regarded as part of other agencies</w:t>
      </w:r>
      <w:bookmarkEnd w:id="44"/>
      <w:bookmarkEnd w:id="45"/>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Swan Valley Planning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Planning Commission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rFonts w:eastAsia="Arial Unicode MS"/>
              </w:rPr>
            </w:pPr>
            <w:r>
              <w:rPr>
                <w:sz w:val="20"/>
              </w:rPr>
              <w:t>Department of Agriculture and Food</w:t>
            </w:r>
          </w:p>
        </w:tc>
        <w:tc>
          <w:tcPr>
            <w:tcW w:w="5194" w:type="dxa"/>
          </w:tcPr>
          <w:p>
            <w:pPr>
              <w:pStyle w:val="yTable"/>
              <w:rPr>
                <w:rFonts w:eastAsia="Arial Unicode MS"/>
              </w:rPr>
            </w:pPr>
            <w:r>
              <w:rPr>
                <w:sz w:val="20"/>
              </w:rPr>
              <w:t>Agricultural Practices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Agricultural Produce Commission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Agriculture Protection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Albany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Artificial Breeding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Ashburton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Beverley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Binnu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Boyup Brook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Bridgetown </w:t>
            </w:r>
            <w:r>
              <w:rPr>
                <w:sz w:val="20"/>
              </w:rPr>
              <w:noBreakHyphen/>
              <w:t xml:space="preserve"> Greenbushes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Brookton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Broome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Broomehill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Bruce Rock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Bunbury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Buntine West Wubin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Burakin </w:t>
            </w:r>
            <w:r>
              <w:rPr>
                <w:sz w:val="20"/>
              </w:rPr>
              <w:noBreakHyphen/>
              <w:t xml:space="preserve"> Bunketch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Cadoux/Manmanning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Capel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Carlecatup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Carnamah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Carnarvon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Carnarvon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Cattle Industry Compensation Act Research Fund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Chapman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Chicken Meat Industry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Chittering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Collie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Coolup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Cuballing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Cue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Cunderdin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Dardanup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Denmark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Dowerin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Dumbleyung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East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East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East Pilbara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East Yornaning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Esperance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Esperance Zone Control Authority</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rPr>
                <w:rFonts w:eastAsia="Arial Unicode MS"/>
              </w:rPr>
            </w:pPr>
            <w:r>
              <w:rPr>
                <w:sz w:val="20"/>
              </w:rPr>
              <w:t>Frankland Below Gordon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Fruit Growing Industry Trust Fund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Gascoyne Ashburton Head Waters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Gascoyne/Wooramel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Geraldton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Gingin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Gnowangerup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Goomalling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Grain Licensing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Hay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Irwin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Jerramungup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Jerramungup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Kalannie/Goodlands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Kalgan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Kalgoorlie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Kalgoorlie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Katanning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Katanning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Kellerberrin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Kent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Kimberley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Kojonup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Koorda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Kulin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Lake Grace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Lower Blackwood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Lyndon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Manjimup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Manjimup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Manypeaks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Meekatharra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Meekatharra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Merredin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Merredin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Midland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Miling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Mingenew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Minyulo/Dandaragan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Mobrup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Moora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Morawa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Mount Magnet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Mount Marshall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Mukinbudin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Mullewa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Murchison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rPr>
                <w:rFonts w:eastAsia="Arial Unicode MS"/>
              </w:rPr>
            </w:pPr>
            <w:r>
              <w:rPr>
                <w:sz w:val="20"/>
              </w:rPr>
              <w:t>Napier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Narembeen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Narrogin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Narrogin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Newdegate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Ninan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North Eastern Goldfields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North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North Stirlings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Northam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Northam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Nugadong West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Nullarbor/Eyre Highway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Nungarin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Nyabing/Pingrup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Perenjori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Piawaning </w:t>
            </w:r>
            <w:r>
              <w:rPr>
                <w:sz w:val="20"/>
              </w:rPr>
              <w:noBreakHyphen/>
              <w:t xml:space="preserve"> Yerecoin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Pilbara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Pingaring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Pingelly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Pithara </w:t>
            </w:r>
            <w:r>
              <w:rPr>
                <w:sz w:val="20"/>
              </w:rPr>
              <w:noBreakHyphen/>
              <w:t xml:space="preserve"> Dalwallinu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Potato Marketing Corporation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Quairading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Quairading Soil Conservation District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Ravensthorpe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Roebourne </w:t>
            </w:r>
            <w:r>
              <w:rPr>
                <w:sz w:val="20"/>
              </w:rPr>
              <w:noBreakHyphen/>
              <w:t xml:space="preserve"> Port Hedland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Rural Business Development Corporation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Sandstone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Serpentine/Jarrahdale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Shark Bay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South 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Stirling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Sussex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Tambellup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Tammin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Three Springs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Three Springs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Toodyay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Trayning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Tunney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Upper Gascoyne Land Conservation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Vasse </w:t>
            </w:r>
            <w:r>
              <w:rPr>
                <w:sz w:val="20"/>
              </w:rPr>
              <w:noBreakHyphen/>
              <w:t xml:space="preserve"> Wonnerup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Veterinary Surgeons Board</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rPr>
                <w:rFonts w:eastAsia="Arial Unicode MS"/>
              </w:rPr>
            </w:pPr>
            <w:r>
              <w:rPr>
                <w:sz w:val="20"/>
              </w:rPr>
              <w:t>Waddi Forest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Walpole </w:t>
            </w:r>
            <w:r>
              <w:rPr>
                <w:sz w:val="20"/>
              </w:rPr>
              <w:noBreakHyphen/>
              <w:t xml:space="preserve"> Tingledale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Waroona Zone Control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 xml:space="preserve">Watheroo </w:t>
            </w:r>
            <w:r>
              <w:rPr>
                <w:sz w:val="20"/>
              </w:rPr>
              <w:noBreakHyphen/>
              <w:t xml:space="preserve"> Coomberdale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Wellesley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Wellstead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 Arthur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 Koojan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 Maya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 Mount Barker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Meat Industry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Westonia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Wickepin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Wiluna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Woodanilling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Wooroloo Land Conservation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Wyalkatchem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Yalgoo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Yallingup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Yilgarn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York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Coal Industry Tribunal of Western Australia</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WorkSafe</w:t>
            </w:r>
          </w:p>
        </w:tc>
      </w:tr>
      <w:tr>
        <w:tc>
          <w:tcPr>
            <w:tcW w:w="1701" w:type="dxa"/>
          </w:tcPr>
          <w:p>
            <w:pPr>
              <w:pStyle w:val="yTable"/>
              <w:rPr>
                <w:rFonts w:eastAsia="Arial Unicode MS"/>
              </w:rPr>
            </w:pPr>
            <w:r>
              <w:rPr>
                <w:sz w:val="20"/>
              </w:rPr>
              <w:t>Department of Corrective Services</w:t>
            </w:r>
          </w:p>
        </w:tc>
        <w:tc>
          <w:tcPr>
            <w:tcW w:w="5194" w:type="dxa"/>
          </w:tcPr>
          <w:p>
            <w:pPr>
              <w:pStyle w:val="yTable"/>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rPr>
                <w:rFonts w:eastAsia="Arial Unicode MS"/>
              </w:rPr>
            </w:pPr>
            <w:r>
              <w:rPr>
                <w:sz w:val="20"/>
              </w:rPr>
              <w:t>Art Gallery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Library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Library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Museum</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Museum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Museum Foundation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Education and Training</w:t>
            </w:r>
          </w:p>
        </w:tc>
        <w:tc>
          <w:tcPr>
            <w:tcW w:w="5194" w:type="dxa"/>
          </w:tcPr>
          <w:p>
            <w:pPr>
              <w:pStyle w:val="yTable"/>
            </w:pPr>
            <w:r>
              <w:rPr>
                <w:sz w:val="20"/>
              </w:rPr>
              <w:t>Aboriginal Education and Training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Country High Schools Hostels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Division of Industrial Training</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Non</w:t>
            </w:r>
            <w:r>
              <w:rPr>
                <w:sz w:val="20"/>
              </w:rPr>
              <w:noBreakHyphen/>
              <w:t>Government Schools Planning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Public Education Endowment Trust (PEET)</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Rural and Remote Education Advisory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Training Board</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Training Accreditation Council</w:t>
            </w:r>
          </w:p>
        </w:tc>
      </w:tr>
      <w:tr>
        <w:trPr>
          <w:cantSplit/>
        </w:trPr>
        <w:tc>
          <w:tcPr>
            <w:tcW w:w="1701" w:type="dxa"/>
            <w:vMerge/>
          </w:tcPr>
          <w:p>
            <w:pPr>
              <w:pStyle w:val="zytable"/>
              <w:spacing w:before="40"/>
              <w:ind w:left="0" w:right="0"/>
              <w:rPr>
                <w:sz w:val="20"/>
              </w:rPr>
            </w:pPr>
          </w:p>
        </w:tc>
        <w:tc>
          <w:tcPr>
            <w:tcW w:w="5194" w:type="dxa"/>
          </w:tcPr>
          <w:p>
            <w:pPr>
              <w:pStyle w:val="yTable"/>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Conservation Commission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Keep Australia Beautiful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Marine Parks and Reserves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Marine Parks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Swan River Trust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rPr>
                <w:rFonts w:eastAsia="Arial Unicode MS"/>
              </w:rPr>
            </w:pPr>
            <w:r>
              <w:rPr>
                <w:sz w:val="20"/>
              </w:rPr>
              <w:t>Abrolhos Islands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Dental Charges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Dental Prosthetists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Reproductive Technology Foundation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Housing and Works</w:t>
            </w:r>
          </w:p>
        </w:tc>
        <w:tc>
          <w:tcPr>
            <w:tcW w:w="5194" w:type="dxa"/>
          </w:tcPr>
          <w:p>
            <w:pPr>
              <w:pStyle w:val="yTable"/>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Architects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Municipal Building Surveryors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Building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rPr>
                <w:rFonts w:eastAsia="Arial Unicode MS"/>
              </w:rPr>
            </w:pPr>
            <w:r>
              <w:rPr>
                <w:sz w:val="20"/>
              </w:rPr>
              <w:t>Centre of Excellence State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Manufacturing Industry Council</w:t>
            </w:r>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rPr>
                <w:rFonts w:eastAsia="Arial Unicode MS"/>
              </w:rPr>
            </w:pPr>
            <w:r>
              <w:rPr>
                <w:sz w:val="20"/>
              </w:rPr>
              <w:t>Caravan Parks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rPr>
                <w:rFonts w:eastAsia="Arial Unicode MS"/>
              </w:rPr>
            </w:pPr>
            <w:r>
              <w:rPr>
                <w:sz w:val="20"/>
              </w:rPr>
              <w:t>Gaming and Wagering Commission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Supreme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The District Court of Western Australia</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the Premier and Cabinet</w:t>
            </w:r>
          </w:p>
        </w:tc>
        <w:tc>
          <w:tcPr>
            <w:tcW w:w="5194" w:type="dxa"/>
          </w:tcPr>
          <w:p>
            <w:pPr>
              <w:pStyle w:val="yTable"/>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Constitutional Centre of Western Australia Advisory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European, North Asia and Middle East Offices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Law Publisher</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Office of Shared Services</w:t>
            </w:r>
          </w:p>
        </w:tc>
      </w:tr>
      <w:tr>
        <w:trPr>
          <w:cantSplit/>
        </w:trPr>
        <w:tc>
          <w:tcPr>
            <w:tcW w:w="1701" w:type="dxa"/>
            <w:vMerge w:val="restart"/>
          </w:tcPr>
          <w:p>
            <w:pPr>
              <w:pStyle w:val="yTable"/>
            </w:pPr>
            <w:r>
              <w:rPr>
                <w:sz w:val="20"/>
              </w:rPr>
              <w:t>Department of Water</w:t>
            </w:r>
          </w:p>
        </w:tc>
        <w:tc>
          <w:tcPr>
            <w:tcW w:w="5194" w:type="dxa"/>
          </w:tcPr>
          <w:p>
            <w:pPr>
              <w:pStyle w:val="yTable"/>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Geographe Bay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Warren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Whicher Water Resource Management Group</w:t>
            </w:r>
          </w:p>
        </w:tc>
      </w:tr>
      <w:tr>
        <w:tc>
          <w:tcPr>
            <w:tcW w:w="1701" w:type="dxa"/>
          </w:tcPr>
          <w:p>
            <w:pPr>
              <w:pStyle w:val="yTable"/>
              <w:rPr>
                <w:rFonts w:eastAsia="Arial Unicode MS"/>
              </w:rPr>
            </w:pPr>
            <w:r>
              <w:rPr>
                <w:sz w:val="20"/>
              </w:rPr>
              <w:t>Disability Services Commission</w:t>
            </w:r>
          </w:p>
        </w:tc>
        <w:tc>
          <w:tcPr>
            <w:tcW w:w="5194" w:type="dxa"/>
          </w:tcPr>
          <w:p>
            <w:pPr>
              <w:pStyle w:val="yTable"/>
              <w:rPr>
                <w:rFonts w:eastAsia="Arial Unicode MS"/>
              </w:rPr>
            </w:pPr>
            <w:r>
              <w:rPr>
                <w:sz w:val="20"/>
              </w:rPr>
              <w:t>Advisory Council for Disability Services</w:t>
            </w:r>
          </w:p>
        </w:tc>
      </w:tr>
      <w:tr>
        <w:tc>
          <w:tcPr>
            <w:tcW w:w="1701" w:type="dxa"/>
          </w:tcPr>
          <w:p>
            <w:pPr>
              <w:pStyle w:val="yTable"/>
              <w:rPr>
                <w:rFonts w:eastAsia="Arial Unicode MS"/>
              </w:rPr>
            </w:pPr>
            <w:r>
              <w:rPr>
                <w:sz w:val="20"/>
              </w:rPr>
              <w:t xml:space="preserve">Minister for the Environment </w:t>
            </w:r>
          </w:p>
        </w:tc>
        <w:tc>
          <w:tcPr>
            <w:tcW w:w="5194" w:type="dxa"/>
          </w:tcPr>
          <w:p>
            <w:pPr>
              <w:pStyle w:val="yTable"/>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Advisory Committee for Wind</w:t>
            </w:r>
            <w:r>
              <w:rPr>
                <w:sz w:val="20"/>
              </w:rPr>
              <w:noBreakHyphen/>
              <w:t>up of the Perth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Perth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State Underground Power Steering Committee</w:t>
            </w:r>
          </w:p>
        </w:tc>
      </w:tr>
      <w:tr>
        <w:tc>
          <w:tcPr>
            <w:tcW w:w="1701" w:type="dxa"/>
          </w:tcPr>
          <w:p>
            <w:pPr>
              <w:pStyle w:val="yTable"/>
              <w:rPr>
                <w:rFonts w:eastAsia="Arial Unicode MS"/>
              </w:rPr>
            </w:pPr>
            <w:r>
              <w:rPr>
                <w:sz w:val="20"/>
              </w:rPr>
              <w:t>Public Transport Authority of Western Australia</w:t>
            </w:r>
          </w:p>
        </w:tc>
        <w:tc>
          <w:tcPr>
            <w:tcW w:w="5194" w:type="dxa"/>
          </w:tcPr>
          <w:p>
            <w:pPr>
              <w:pStyle w:val="yTable"/>
              <w:rPr>
                <w:rFonts w:eastAsia="Arial Unicode MS"/>
              </w:rPr>
            </w:pPr>
            <w:r>
              <w:rPr>
                <w:sz w:val="20"/>
              </w:rPr>
              <w:t>Railway Appeal Board</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Western Australia Industrial Relations Commission</w:t>
            </w:r>
          </w:p>
        </w:tc>
        <w:tc>
          <w:tcPr>
            <w:tcW w:w="5194" w:type="dxa"/>
          </w:tcPr>
          <w:p>
            <w:pPr>
              <w:pStyle w:val="yTable"/>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Industrial Magistrates Court</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WA Industrial Appeal Court</w:t>
            </w:r>
          </w:p>
        </w:tc>
      </w:tr>
      <w:tr>
        <w:trPr>
          <w:cantSplit/>
        </w:trPr>
        <w:tc>
          <w:tcPr>
            <w:tcW w:w="1701" w:type="dxa"/>
            <w:vMerge w:val="restart"/>
          </w:tcPr>
          <w:p>
            <w:pPr>
              <w:pStyle w:val="yTable"/>
            </w:pPr>
            <w:r>
              <w:rPr>
                <w:sz w:val="20"/>
              </w:rPr>
              <w:t>Western Australia Police</w:t>
            </w:r>
          </w:p>
        </w:tc>
        <w:tc>
          <w:tcPr>
            <w:tcW w:w="5194" w:type="dxa"/>
          </w:tcPr>
          <w:p>
            <w:pPr>
              <w:pStyle w:val="yTable"/>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Western Australian Police Historical Society</w:t>
            </w:r>
          </w:p>
        </w:tc>
      </w:tr>
      <w:tr>
        <w:trPr>
          <w:cantSplit/>
        </w:trPr>
        <w:tc>
          <w:tcPr>
            <w:tcW w:w="1701" w:type="dxa"/>
            <w:vMerge w:val="restart"/>
          </w:tcPr>
          <w:p>
            <w:pPr>
              <w:pStyle w:val="yTable"/>
            </w:pPr>
            <w:r>
              <w:rPr>
                <w:sz w:val="20"/>
              </w:rPr>
              <w:t>Western Australian Land Information Authority (Landgate)</w:t>
            </w:r>
          </w:p>
        </w:tc>
        <w:tc>
          <w:tcPr>
            <w:tcW w:w="5194" w:type="dxa"/>
          </w:tcPr>
          <w:p>
            <w:pPr>
              <w:pStyle w:val="yTable"/>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rPr>
                <w:rFonts w:eastAsia="Arial Unicode MS"/>
              </w:rPr>
            </w:pPr>
            <w:r>
              <w:rPr>
                <w:sz w:val="20"/>
              </w:rPr>
              <w:t>Valuer General’s Office</w:t>
            </w:r>
          </w:p>
        </w:tc>
      </w:tr>
      <w:tr>
        <w:tc>
          <w:tcPr>
            <w:tcW w:w="1701" w:type="dxa"/>
          </w:tcPr>
          <w:p>
            <w:pPr>
              <w:pStyle w:val="yTable"/>
              <w:rPr>
                <w:rFonts w:eastAsia="Arial Unicode MS"/>
              </w:rPr>
            </w:pPr>
            <w:r>
              <w:rPr>
                <w:sz w:val="20"/>
              </w:rPr>
              <w:t>WorkCover Western Australia Authority (Workcover WA)</w:t>
            </w:r>
          </w:p>
        </w:tc>
        <w:tc>
          <w:tcPr>
            <w:tcW w:w="5194" w:type="dxa"/>
          </w:tcPr>
          <w:p>
            <w:pPr>
              <w:pStyle w:val="yTable"/>
              <w:rPr>
                <w:rFonts w:eastAsia="Arial Unicode MS"/>
              </w:rPr>
            </w:pPr>
            <w:r>
              <w:rPr>
                <w:sz w:val="20"/>
              </w:rPr>
              <w:t>Dispute Resolution Directorate</w:t>
            </w:r>
          </w:p>
        </w:tc>
      </w:tr>
    </w:tbl>
    <w:p>
      <w:pPr>
        <w:pStyle w:val="yFootnotesection"/>
      </w:pPr>
      <w:r>
        <w:tab/>
        <w:t>[Schedule 2 inserted in Gazette 28 Dec 2007 p. 6415-23.]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6" w:name="_Toc154984547"/>
      <w:bookmarkStart w:id="47" w:name="_Toc154984793"/>
      <w:bookmarkStart w:id="48" w:name="_Toc154986180"/>
      <w:bookmarkStart w:id="49" w:name="_Toc154986240"/>
      <w:bookmarkStart w:id="50" w:name="_Toc155069569"/>
      <w:bookmarkStart w:id="51" w:name="_Toc155069681"/>
      <w:bookmarkStart w:id="52" w:name="_Toc186531020"/>
      <w:bookmarkStart w:id="53" w:name="_Toc186536184"/>
      <w:bookmarkStart w:id="54" w:name="_Toc186536266"/>
      <w:r>
        <w:t>Notes</w:t>
      </w:r>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snapToGrid w:val="0"/>
        </w:rPr>
        <w:t>Freedom of Information Regulations 1993</w:t>
      </w:r>
      <w:r>
        <w:rPr>
          <w:snapToGrid w:val="0"/>
        </w:rPr>
        <w:t xml:space="preserve"> and includes the amendments made by the other written laws referred to in the following table.</w:t>
      </w:r>
    </w:p>
    <w:p>
      <w:pPr>
        <w:pStyle w:val="nHeading3"/>
        <w:rPr>
          <w:snapToGrid w:val="0"/>
        </w:rPr>
      </w:pPr>
      <w:bookmarkStart w:id="55" w:name="_Toc186536267"/>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Borders>
              <w:bottom w:val="single" w:sz="8" w:space="0" w:color="auto"/>
            </w:tcBorders>
          </w:tcPr>
          <w:p>
            <w:pPr>
              <w:pStyle w:val="nTable"/>
              <w:spacing w:after="40"/>
              <w:rPr>
                <w:i/>
                <w:sz w:val="19"/>
              </w:rPr>
            </w:pPr>
            <w:r>
              <w:rPr>
                <w:i/>
                <w:sz w:val="19"/>
              </w:rPr>
              <w:t>Freedom of Information Amendment Regulations 2007</w:t>
            </w:r>
          </w:p>
        </w:tc>
        <w:tc>
          <w:tcPr>
            <w:tcW w:w="1276" w:type="dxa"/>
            <w:tcBorders>
              <w:bottom w:val="single" w:sz="8" w:space="0" w:color="auto"/>
            </w:tcBorders>
          </w:tcPr>
          <w:p>
            <w:pPr>
              <w:pStyle w:val="nTable"/>
              <w:spacing w:after="40"/>
              <w:rPr>
                <w:sz w:val="19"/>
              </w:rPr>
            </w:pPr>
            <w:r>
              <w:rPr>
                <w:sz w:val="19"/>
              </w:rPr>
              <w:t>28 Dec 2007 p. 6414-23</w:t>
            </w:r>
          </w:p>
        </w:tc>
        <w:tc>
          <w:tcPr>
            <w:tcW w:w="2693" w:type="dxa"/>
            <w:tcBorders>
              <w:bottom w:val="single" w:sz="8" w:space="0" w:color="auto"/>
            </w:tcBorders>
          </w:tcPr>
          <w:p>
            <w:pPr>
              <w:pStyle w:val="nTable"/>
              <w:spacing w:after="40"/>
              <w:rPr>
                <w:sz w:val="19"/>
              </w:rPr>
            </w:pPr>
            <w:r>
              <w:rPr>
                <w:sz w:val="19"/>
              </w:rPr>
              <w:t>28 Dec 2007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Freedom of Information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418"/>
    <w:docVar w:name="WAFER_20151211141418" w:val="RemoveTrackChanges"/>
    <w:docVar w:name="WAFER_20151211141418_GUID" w:val="d8635135-5a95-4652-a9d3-fda7fc770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2D4A-3FA4-4A44-8E13-A6D91F6F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3622</Words>
  <Characters>22277</Characters>
  <Application>Microsoft Office Word</Application>
  <DocSecurity>0</DocSecurity>
  <Lines>1172</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1993 - 00-f0-03</dc:title>
  <dc:subject/>
  <dc:creator/>
  <cp:keywords/>
  <dc:description/>
  <cp:lastModifiedBy>svcMRProcess</cp:lastModifiedBy>
  <cp:revision>4</cp:revision>
  <cp:lastPrinted>1998-12-04T04:30:00Z</cp:lastPrinted>
  <dcterms:created xsi:type="dcterms:W3CDTF">2015-12-14T11:22:00Z</dcterms:created>
  <dcterms:modified xsi:type="dcterms:W3CDTF">2015-12-14T11:22:00Z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20071228</vt:lpwstr>
  </property>
  <property fmtid="{D5CDD505-2E9C-101B-9397-08002B2CF9AE}" pid="4" name="DocumentType">
    <vt:lpwstr>Reg</vt:lpwstr>
  </property>
  <property fmtid="{D5CDD505-2E9C-101B-9397-08002B2CF9AE}" pid="5" name="OwlsUID">
    <vt:i4>4455</vt:i4>
  </property>
  <property fmtid="{D5CDD505-2E9C-101B-9397-08002B2CF9AE}" pid="6" name="AsAtDate">
    <vt:lpwstr>28 Dec 2007</vt:lpwstr>
  </property>
  <property fmtid="{D5CDD505-2E9C-101B-9397-08002B2CF9AE}" pid="7" name="Suffix">
    <vt:lpwstr>00-f0-03</vt:lpwstr>
  </property>
</Properties>
</file>