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Gas Standards (Gas Supply and System Safety)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 Supply and System Safety) Regulations 2000</w:t>
      </w:r>
      <w:r>
        <w:fldChar w:fldCharType="end"/>
      </w:r>
    </w:p>
    <w:p>
      <w:pPr>
        <w:pStyle w:val="Arrangement"/>
      </w:pPr>
      <w:r>
        <w:t>CONTENTS</w:t>
      </w:r>
    </w:p>
    <w:p>
      <w:pPr>
        <w:pStyle w:val="TOC2"/>
        <w:tabs>
          <w:tab w:val="right" w:leader="dot" w:pos="7086"/>
        </w:tabs>
        <w:rPr>
          <w:b w:val="0"/>
          <w:noProof/>
          <w:sz w:val="24"/>
          <w:szCs w:val="24"/>
        </w:rPr>
      </w:pPr>
      <w:r>
        <w:fldChar w:fldCharType="begin"/>
      </w:r>
      <w:r>
        <w:instrText xml:space="preserve"> TOC \o "1-3" \t "Heading 5,4" \n 2-3 </w:instrText>
      </w:r>
      <w: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_Toc187134296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_Toc187134297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_Toc187134298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Standards for gas supplied</w:t>
      </w:r>
    </w:p>
    <w:p>
      <w:pPr>
        <w:pStyle w:val="TOC3"/>
        <w:rPr>
          <w:b w:val="0"/>
          <w:noProof/>
          <w:sz w:val="24"/>
          <w:szCs w:val="24"/>
        </w:rPr>
      </w:pPr>
      <w:r>
        <w:rPr>
          <w:noProof/>
          <w:szCs w:val="26"/>
        </w:rPr>
        <w:t>Division 1 — General standard for gas pressure</w:t>
      </w:r>
    </w:p>
    <w:p>
      <w:pPr>
        <w:pStyle w:val="TOC4"/>
        <w:tabs>
          <w:tab w:val="left" w:pos="1701"/>
        </w:tabs>
        <w:rPr>
          <w:noProof/>
          <w:sz w:val="24"/>
          <w:szCs w:val="24"/>
        </w:rPr>
      </w:pPr>
      <w:r>
        <w:rPr>
          <w:noProof/>
          <w:szCs w:val="24"/>
        </w:rPr>
        <w:t>4.</w:t>
      </w:r>
      <w:r>
        <w:rPr>
          <w:noProof/>
          <w:sz w:val="24"/>
          <w:szCs w:val="24"/>
        </w:rPr>
        <w:tab/>
      </w:r>
      <w:r>
        <w:rPr>
          <w:noProof/>
          <w:szCs w:val="24"/>
        </w:rPr>
        <w:t>Gas pressure</w:t>
      </w:r>
      <w:r>
        <w:rPr>
          <w:noProof/>
        </w:rPr>
        <w:tab/>
      </w:r>
      <w:r>
        <w:rPr>
          <w:noProof/>
        </w:rPr>
        <w:fldChar w:fldCharType="begin"/>
      </w:r>
      <w:r>
        <w:rPr>
          <w:noProof/>
        </w:rPr>
        <w:instrText xml:space="preserve"> PAGEREF _Toc187134301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2 — Standards for natural gas</w:t>
      </w:r>
    </w:p>
    <w:p>
      <w:pPr>
        <w:pStyle w:val="TOC4"/>
        <w:tabs>
          <w:tab w:val="left" w:pos="1701"/>
        </w:tabs>
        <w:rPr>
          <w:noProof/>
          <w:sz w:val="24"/>
          <w:szCs w:val="24"/>
        </w:rPr>
      </w:pPr>
      <w:r>
        <w:rPr>
          <w:noProof/>
          <w:szCs w:val="24"/>
        </w:rPr>
        <w:t>5.</w:t>
      </w:r>
      <w:r>
        <w:rPr>
          <w:noProof/>
          <w:sz w:val="24"/>
          <w:szCs w:val="24"/>
        </w:rPr>
        <w:tab/>
      </w:r>
      <w:r>
        <w:rPr>
          <w:noProof/>
          <w:szCs w:val="24"/>
        </w:rPr>
        <w:t>Quality standards</w:t>
      </w:r>
      <w:r>
        <w:rPr>
          <w:noProof/>
        </w:rPr>
        <w:tab/>
      </w:r>
      <w:r>
        <w:rPr>
          <w:noProof/>
        </w:rPr>
        <w:fldChar w:fldCharType="begin"/>
      </w:r>
      <w:r>
        <w:rPr>
          <w:noProof/>
        </w:rPr>
        <w:instrText xml:space="preserve"> PAGEREF _Toc187134303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Odorising natural gas</w:t>
      </w:r>
      <w:r>
        <w:rPr>
          <w:noProof/>
        </w:rPr>
        <w:tab/>
      </w:r>
      <w:r>
        <w:rPr>
          <w:noProof/>
        </w:rPr>
        <w:fldChar w:fldCharType="begin"/>
      </w:r>
      <w:r>
        <w:rPr>
          <w:noProof/>
        </w:rPr>
        <w:instrText xml:space="preserve"> PAGEREF _Toc187134304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3 — Standards for LPG</w:t>
      </w:r>
    </w:p>
    <w:p>
      <w:pPr>
        <w:pStyle w:val="TOC4"/>
        <w:tabs>
          <w:tab w:val="left" w:pos="1701"/>
        </w:tabs>
        <w:rPr>
          <w:noProof/>
          <w:sz w:val="24"/>
          <w:szCs w:val="24"/>
        </w:rPr>
      </w:pPr>
      <w:r>
        <w:rPr>
          <w:noProof/>
          <w:szCs w:val="24"/>
        </w:rPr>
        <w:t>7.</w:t>
      </w:r>
      <w:r>
        <w:rPr>
          <w:noProof/>
          <w:sz w:val="24"/>
          <w:szCs w:val="24"/>
        </w:rPr>
        <w:tab/>
      </w:r>
      <w:r>
        <w:rPr>
          <w:noProof/>
          <w:szCs w:val="24"/>
        </w:rPr>
        <w:t>Quality standards</w:t>
      </w:r>
      <w:r>
        <w:rPr>
          <w:noProof/>
        </w:rPr>
        <w:tab/>
      </w:r>
      <w:r>
        <w:rPr>
          <w:noProof/>
        </w:rPr>
        <w:fldChar w:fldCharType="begin"/>
      </w:r>
      <w:r>
        <w:rPr>
          <w:noProof/>
        </w:rPr>
        <w:instrText xml:space="preserve"> PAGEREF _Toc187134306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Evaporation</w:t>
      </w:r>
      <w:r>
        <w:rPr>
          <w:noProof/>
        </w:rPr>
        <w:tab/>
      </w:r>
      <w:r>
        <w:rPr>
          <w:noProof/>
        </w:rPr>
        <w:fldChar w:fldCharType="begin"/>
      </w:r>
      <w:r>
        <w:rPr>
          <w:noProof/>
        </w:rPr>
        <w:instrText xml:space="preserve"> PAGEREF _Toc187134307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Odorising LPG</w:t>
      </w:r>
      <w:r>
        <w:rPr>
          <w:noProof/>
        </w:rPr>
        <w:tab/>
      </w:r>
      <w:r>
        <w:rPr>
          <w:noProof/>
        </w:rPr>
        <w:fldChar w:fldCharType="begin"/>
      </w:r>
      <w:r>
        <w:rPr>
          <w:noProof/>
        </w:rPr>
        <w:instrText xml:space="preserve"> PAGEREF _Toc187134308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Propane</w:t>
      </w:r>
      <w:r>
        <w:rPr>
          <w:noProof/>
        </w:rPr>
        <w:tab/>
      </w:r>
      <w:r>
        <w:rPr>
          <w:noProof/>
        </w:rPr>
        <w:fldChar w:fldCharType="begin"/>
      </w:r>
      <w:r>
        <w:rPr>
          <w:noProof/>
        </w:rPr>
        <w:instrText xml:space="preserve"> PAGEREF _Toc187134309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Butane</w:t>
      </w:r>
      <w:r>
        <w:rPr>
          <w:noProof/>
        </w:rPr>
        <w:tab/>
      </w:r>
      <w:r>
        <w:rPr>
          <w:noProof/>
        </w:rPr>
        <w:fldChar w:fldCharType="begin"/>
      </w:r>
      <w:r>
        <w:rPr>
          <w:noProof/>
        </w:rPr>
        <w:instrText xml:space="preserve"> PAGEREF _Toc187134310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Mixed LPG</w:t>
      </w:r>
      <w:r>
        <w:rPr>
          <w:noProof/>
        </w:rPr>
        <w:tab/>
      </w:r>
      <w:r>
        <w:rPr>
          <w:noProof/>
        </w:rPr>
        <w:fldChar w:fldCharType="begin"/>
      </w:r>
      <w:r>
        <w:rPr>
          <w:noProof/>
        </w:rPr>
        <w:instrText xml:space="preserve"> PAGEREF _Toc187134311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LPG supplied through a distribution system</w:t>
      </w:r>
      <w:r>
        <w:rPr>
          <w:noProof/>
        </w:rPr>
        <w:tab/>
      </w:r>
      <w:r>
        <w:rPr>
          <w:noProof/>
        </w:rPr>
        <w:fldChar w:fldCharType="begin"/>
      </w:r>
      <w:r>
        <w:rPr>
          <w:noProof/>
        </w:rPr>
        <w:instrText xml:space="preserve"> PAGEREF _Toc187134312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3 — Metering</w:t>
      </w:r>
    </w:p>
    <w:p>
      <w:pPr>
        <w:pStyle w:val="TOC4"/>
        <w:tabs>
          <w:tab w:val="left" w:pos="1701"/>
        </w:tabs>
        <w:rPr>
          <w:noProof/>
          <w:sz w:val="24"/>
          <w:szCs w:val="24"/>
        </w:rPr>
      </w:pPr>
      <w:r>
        <w:rPr>
          <w:noProof/>
          <w:szCs w:val="24"/>
        </w:rPr>
        <w:t>14.</w:t>
      </w:r>
      <w:r>
        <w:rPr>
          <w:noProof/>
          <w:sz w:val="24"/>
          <w:szCs w:val="24"/>
        </w:rPr>
        <w:tab/>
      </w:r>
      <w:r>
        <w:rPr>
          <w:noProof/>
          <w:szCs w:val="24"/>
        </w:rPr>
        <w:t>Definition</w:t>
      </w:r>
      <w:r>
        <w:rPr>
          <w:noProof/>
        </w:rPr>
        <w:tab/>
      </w:r>
      <w:r>
        <w:rPr>
          <w:noProof/>
        </w:rPr>
        <w:fldChar w:fldCharType="begin"/>
      </w:r>
      <w:r>
        <w:rPr>
          <w:noProof/>
        </w:rPr>
        <w:instrText xml:space="preserve"> PAGEREF _Toc187134314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Operating requirements for master meters</w:t>
      </w:r>
      <w:r>
        <w:rPr>
          <w:noProof/>
        </w:rPr>
        <w:tab/>
      </w:r>
      <w:r>
        <w:rPr>
          <w:noProof/>
        </w:rPr>
        <w:fldChar w:fldCharType="begin"/>
      </w:r>
      <w:r>
        <w:rPr>
          <w:noProof/>
        </w:rPr>
        <w:instrText xml:space="preserve"> PAGEREF _Toc187134315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Replacement of master meters</w:t>
      </w:r>
      <w:r>
        <w:rPr>
          <w:noProof/>
        </w:rPr>
        <w:tab/>
      </w:r>
      <w:r>
        <w:rPr>
          <w:noProof/>
        </w:rPr>
        <w:fldChar w:fldCharType="begin"/>
      </w:r>
      <w:r>
        <w:rPr>
          <w:noProof/>
        </w:rPr>
        <w:instrText xml:space="preserve"> PAGEREF _Toc187134316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Alternative requirements</w:t>
      </w:r>
      <w:r>
        <w:rPr>
          <w:noProof/>
        </w:rPr>
        <w:tab/>
      </w:r>
      <w:r>
        <w:rPr>
          <w:noProof/>
        </w:rPr>
        <w:fldChar w:fldCharType="begin"/>
      </w:r>
      <w:r>
        <w:rPr>
          <w:noProof/>
        </w:rPr>
        <w:instrText xml:space="preserve"> PAGEREF _Toc187134317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lastRenderedPageBreak/>
        <w:t>Part 3A</w:t>
      </w:r>
      <w:r>
        <w:rPr>
          <w:b w:val="0"/>
          <w:noProof/>
          <w:szCs w:val="30"/>
        </w:rPr>
        <w:t> </w:t>
      </w:r>
      <w:r>
        <w:rPr>
          <w:noProof/>
          <w:szCs w:val="30"/>
        </w:rPr>
        <w:t>—</w:t>
      </w:r>
      <w:r>
        <w:rPr>
          <w:b w:val="0"/>
          <w:noProof/>
          <w:szCs w:val="30"/>
        </w:rPr>
        <w:t> </w:t>
      </w:r>
      <w:r>
        <w:rPr>
          <w:noProof/>
          <w:szCs w:val="30"/>
        </w:rPr>
        <w:t>Entry and commingling of gas of different qualities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17A.</w:t>
      </w:r>
      <w:r>
        <w:rPr>
          <w:noProof/>
          <w:sz w:val="24"/>
          <w:szCs w:val="24"/>
        </w:rPr>
        <w:tab/>
      </w:r>
      <w:r>
        <w:rPr>
          <w:noProof/>
          <w:szCs w:val="24"/>
        </w:rPr>
        <w:t>Terms used in this Part</w:t>
      </w:r>
      <w:r>
        <w:rPr>
          <w:noProof/>
        </w:rPr>
        <w:tab/>
      </w:r>
      <w:r>
        <w:rPr>
          <w:noProof/>
        </w:rPr>
        <w:fldChar w:fldCharType="begin"/>
      </w:r>
      <w:r>
        <w:rPr>
          <w:noProof/>
        </w:rPr>
        <w:instrText xml:space="preserve"> PAGEREF _Toc187134320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2 — Approved plan</w:t>
      </w:r>
    </w:p>
    <w:p>
      <w:pPr>
        <w:pStyle w:val="TOC4"/>
        <w:tabs>
          <w:tab w:val="left" w:pos="1701"/>
        </w:tabs>
        <w:rPr>
          <w:noProof/>
          <w:sz w:val="24"/>
          <w:szCs w:val="24"/>
        </w:rPr>
      </w:pPr>
      <w:r>
        <w:rPr>
          <w:noProof/>
          <w:szCs w:val="24"/>
        </w:rPr>
        <w:t>17B.</w:t>
      </w:r>
      <w:r>
        <w:rPr>
          <w:noProof/>
          <w:sz w:val="24"/>
          <w:szCs w:val="24"/>
        </w:rPr>
        <w:tab/>
      </w:r>
      <w:r>
        <w:rPr>
          <w:noProof/>
          <w:szCs w:val="24"/>
        </w:rPr>
        <w:t>Requirement for an approved plan</w:t>
      </w:r>
      <w:r>
        <w:rPr>
          <w:noProof/>
        </w:rPr>
        <w:tab/>
      </w:r>
      <w:r>
        <w:rPr>
          <w:noProof/>
        </w:rPr>
        <w:fldChar w:fldCharType="begin"/>
      </w:r>
      <w:r>
        <w:rPr>
          <w:noProof/>
        </w:rPr>
        <w:instrText xml:space="preserve"> PAGEREF _Toc187134322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17C.</w:t>
      </w:r>
      <w:r>
        <w:rPr>
          <w:noProof/>
          <w:sz w:val="24"/>
          <w:szCs w:val="24"/>
        </w:rPr>
        <w:tab/>
      </w:r>
      <w:r>
        <w:rPr>
          <w:noProof/>
          <w:szCs w:val="24"/>
        </w:rPr>
        <w:t>Content of management plan</w:t>
      </w:r>
      <w:r>
        <w:rPr>
          <w:noProof/>
        </w:rPr>
        <w:tab/>
      </w:r>
      <w:r>
        <w:rPr>
          <w:noProof/>
        </w:rPr>
        <w:fldChar w:fldCharType="begin"/>
      </w:r>
      <w:r>
        <w:rPr>
          <w:noProof/>
        </w:rPr>
        <w:instrText xml:space="preserve"> PAGEREF _Toc187134323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17D.</w:t>
      </w:r>
      <w:r>
        <w:rPr>
          <w:noProof/>
          <w:sz w:val="24"/>
          <w:szCs w:val="24"/>
        </w:rPr>
        <w:tab/>
      </w:r>
      <w:r>
        <w:rPr>
          <w:noProof/>
          <w:szCs w:val="24"/>
        </w:rPr>
        <w:t>Submission of management plan for approval</w:t>
      </w:r>
      <w:r>
        <w:rPr>
          <w:noProof/>
        </w:rPr>
        <w:tab/>
      </w:r>
      <w:r>
        <w:rPr>
          <w:noProof/>
        </w:rPr>
        <w:fldChar w:fldCharType="begin"/>
      </w:r>
      <w:r>
        <w:rPr>
          <w:noProof/>
        </w:rPr>
        <w:instrText xml:space="preserve"> PAGEREF _Toc187134324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17E.</w:t>
      </w:r>
      <w:r>
        <w:rPr>
          <w:noProof/>
          <w:sz w:val="24"/>
          <w:szCs w:val="24"/>
        </w:rPr>
        <w:tab/>
      </w:r>
      <w:r>
        <w:rPr>
          <w:noProof/>
          <w:szCs w:val="24"/>
        </w:rPr>
        <w:t>Approval of management plan</w:t>
      </w:r>
      <w:r>
        <w:rPr>
          <w:noProof/>
        </w:rPr>
        <w:tab/>
      </w:r>
      <w:r>
        <w:rPr>
          <w:noProof/>
        </w:rPr>
        <w:fldChar w:fldCharType="begin"/>
      </w:r>
      <w:r>
        <w:rPr>
          <w:noProof/>
        </w:rPr>
        <w:instrText xml:space="preserve"> PAGEREF _Toc187134325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17F.</w:t>
      </w:r>
      <w:r>
        <w:rPr>
          <w:noProof/>
          <w:sz w:val="24"/>
          <w:szCs w:val="24"/>
        </w:rPr>
        <w:tab/>
      </w:r>
      <w:r>
        <w:rPr>
          <w:noProof/>
          <w:szCs w:val="24"/>
        </w:rPr>
        <w:t>Amendment or replacement of an approved plan</w:t>
      </w:r>
      <w:r>
        <w:rPr>
          <w:noProof/>
        </w:rPr>
        <w:tab/>
      </w:r>
      <w:r>
        <w:rPr>
          <w:noProof/>
        </w:rPr>
        <w:fldChar w:fldCharType="begin"/>
      </w:r>
      <w:r>
        <w:rPr>
          <w:noProof/>
        </w:rPr>
        <w:instrText xml:space="preserve"> PAGEREF _Toc187134326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17G.</w:t>
      </w:r>
      <w:r>
        <w:rPr>
          <w:noProof/>
          <w:sz w:val="24"/>
          <w:szCs w:val="24"/>
        </w:rPr>
        <w:tab/>
      </w:r>
      <w:r>
        <w:rPr>
          <w:noProof/>
          <w:szCs w:val="24"/>
        </w:rPr>
        <w:t>Director may require amendment</w:t>
      </w:r>
      <w:r>
        <w:rPr>
          <w:noProof/>
        </w:rPr>
        <w:tab/>
      </w:r>
      <w:r>
        <w:rPr>
          <w:noProof/>
        </w:rPr>
        <w:fldChar w:fldCharType="begin"/>
      </w:r>
      <w:r>
        <w:rPr>
          <w:noProof/>
        </w:rPr>
        <w:instrText xml:space="preserve"> PAGEREF _Toc187134327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17H.</w:t>
      </w:r>
      <w:r>
        <w:rPr>
          <w:noProof/>
          <w:sz w:val="24"/>
          <w:szCs w:val="24"/>
        </w:rPr>
        <w:tab/>
      </w:r>
      <w:r>
        <w:rPr>
          <w:noProof/>
          <w:szCs w:val="24"/>
        </w:rPr>
        <w:t>Compliance with an approved plan</w:t>
      </w:r>
      <w:r>
        <w:rPr>
          <w:noProof/>
        </w:rPr>
        <w:tab/>
      </w:r>
      <w:r>
        <w:rPr>
          <w:noProof/>
        </w:rPr>
        <w:fldChar w:fldCharType="begin"/>
      </w:r>
      <w:r>
        <w:rPr>
          <w:noProof/>
        </w:rPr>
        <w:instrText xml:space="preserve"> PAGEREF _Toc187134328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3 — Determination of heating value of gas</w:t>
      </w:r>
    </w:p>
    <w:p>
      <w:pPr>
        <w:pStyle w:val="TOC4"/>
        <w:tabs>
          <w:tab w:val="left" w:pos="1701"/>
        </w:tabs>
        <w:rPr>
          <w:noProof/>
          <w:sz w:val="24"/>
          <w:szCs w:val="24"/>
        </w:rPr>
      </w:pPr>
      <w:r>
        <w:rPr>
          <w:noProof/>
          <w:szCs w:val="24"/>
        </w:rPr>
        <w:t>17I.</w:t>
      </w:r>
      <w:r>
        <w:rPr>
          <w:noProof/>
          <w:sz w:val="24"/>
          <w:szCs w:val="24"/>
        </w:rPr>
        <w:tab/>
      </w:r>
      <w:r>
        <w:rPr>
          <w:noProof/>
          <w:szCs w:val="24"/>
        </w:rPr>
        <w:t>Establishing a HHV zone or HHV zones</w:t>
      </w:r>
      <w:r>
        <w:rPr>
          <w:noProof/>
        </w:rPr>
        <w:tab/>
      </w:r>
      <w:r>
        <w:rPr>
          <w:noProof/>
        </w:rPr>
        <w:fldChar w:fldCharType="begin"/>
      </w:r>
      <w:r>
        <w:rPr>
          <w:noProof/>
        </w:rPr>
        <w:instrText xml:space="preserve"> PAGEREF _Toc187134330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17J.</w:t>
      </w:r>
      <w:r>
        <w:rPr>
          <w:noProof/>
          <w:sz w:val="24"/>
          <w:szCs w:val="24"/>
        </w:rPr>
        <w:tab/>
      </w:r>
      <w:r>
        <w:rPr>
          <w:noProof/>
          <w:szCs w:val="24"/>
        </w:rPr>
        <w:t>Network operator to determine heating value of gas</w:t>
      </w:r>
      <w:r>
        <w:rPr>
          <w:noProof/>
        </w:rPr>
        <w:tab/>
      </w:r>
      <w:r>
        <w:rPr>
          <w:noProof/>
        </w:rPr>
        <w:fldChar w:fldCharType="begin"/>
      </w:r>
      <w:r>
        <w:rPr>
          <w:noProof/>
        </w:rPr>
        <w:instrText xml:space="preserve"> PAGEREF _Toc187134331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4 — Distribution system safety</w:t>
      </w:r>
    </w:p>
    <w:p>
      <w:pPr>
        <w:pStyle w:val="TOC3"/>
        <w:rPr>
          <w:b w:val="0"/>
          <w:noProof/>
          <w:sz w:val="24"/>
          <w:szCs w:val="24"/>
        </w:rPr>
      </w:pPr>
      <w:r>
        <w:rPr>
          <w:noProof/>
          <w:szCs w:val="26"/>
        </w:rPr>
        <w:t>Division 1 — Obligations related to the carrying out of prescribed activities</w:t>
      </w:r>
    </w:p>
    <w:p>
      <w:pPr>
        <w:pStyle w:val="TOC4"/>
        <w:tabs>
          <w:tab w:val="left" w:pos="1701"/>
        </w:tabs>
        <w:rPr>
          <w:noProof/>
          <w:sz w:val="24"/>
          <w:szCs w:val="24"/>
        </w:rPr>
      </w:pPr>
      <w:r>
        <w:rPr>
          <w:noProof/>
          <w:szCs w:val="24"/>
        </w:rPr>
        <w:t>18.</w:t>
      </w:r>
      <w:r>
        <w:rPr>
          <w:noProof/>
          <w:sz w:val="24"/>
          <w:szCs w:val="24"/>
        </w:rPr>
        <w:tab/>
      </w:r>
      <w:r>
        <w:rPr>
          <w:noProof/>
          <w:szCs w:val="24"/>
        </w:rPr>
        <w:t>Management of prescribed activities</w:t>
      </w:r>
      <w:r>
        <w:rPr>
          <w:noProof/>
        </w:rPr>
        <w:tab/>
      </w:r>
      <w:r>
        <w:rPr>
          <w:noProof/>
        </w:rPr>
        <w:fldChar w:fldCharType="begin"/>
      </w:r>
      <w:r>
        <w:rPr>
          <w:noProof/>
        </w:rPr>
        <w:instrText xml:space="preserve"> PAGEREF _Toc187134334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Evidence of compliance: standards and codes</w:t>
      </w:r>
      <w:r>
        <w:rPr>
          <w:noProof/>
        </w:rPr>
        <w:tab/>
      </w:r>
      <w:r>
        <w:rPr>
          <w:noProof/>
        </w:rPr>
        <w:fldChar w:fldCharType="begin"/>
      </w:r>
      <w:r>
        <w:rPr>
          <w:noProof/>
        </w:rPr>
        <w:instrText xml:space="preserve"> PAGEREF _Toc187134335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Evidence of compliance: accepted safety case</w:t>
      </w:r>
      <w:r>
        <w:rPr>
          <w:noProof/>
        </w:rPr>
        <w:tab/>
      </w:r>
      <w:r>
        <w:rPr>
          <w:noProof/>
        </w:rPr>
        <w:fldChar w:fldCharType="begin"/>
      </w:r>
      <w:r>
        <w:rPr>
          <w:noProof/>
        </w:rPr>
        <w:instrText xml:space="preserve"> PAGEREF _Toc187134336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Persons carrying out prescribed activities</w:t>
      </w:r>
      <w:r>
        <w:rPr>
          <w:noProof/>
        </w:rPr>
        <w:tab/>
      </w:r>
      <w:r>
        <w:rPr>
          <w:noProof/>
        </w:rPr>
        <w:fldChar w:fldCharType="begin"/>
      </w:r>
      <w:r>
        <w:rPr>
          <w:noProof/>
        </w:rPr>
        <w:instrText xml:space="preserve"> PAGEREF _Toc187134337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Network operator to notify Director of proposed major activities</w:t>
      </w:r>
      <w:r>
        <w:rPr>
          <w:noProof/>
        </w:rPr>
        <w:tab/>
      </w:r>
      <w:r>
        <w:rPr>
          <w:noProof/>
        </w:rPr>
        <w:fldChar w:fldCharType="begin"/>
      </w:r>
      <w:r>
        <w:rPr>
          <w:noProof/>
        </w:rPr>
        <w:instrText xml:space="preserve"> PAGEREF _Toc187134338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2 — Provisions applicable in absence of accepted safety case</w:t>
      </w:r>
    </w:p>
    <w:p>
      <w:pPr>
        <w:pStyle w:val="TOC4"/>
        <w:tabs>
          <w:tab w:val="left" w:pos="1701"/>
        </w:tabs>
        <w:rPr>
          <w:noProof/>
          <w:sz w:val="24"/>
          <w:szCs w:val="24"/>
        </w:rPr>
      </w:pPr>
      <w:r>
        <w:rPr>
          <w:noProof/>
          <w:szCs w:val="24"/>
        </w:rPr>
        <w:t>23.</w:t>
      </w:r>
      <w:r>
        <w:rPr>
          <w:noProof/>
          <w:sz w:val="24"/>
          <w:szCs w:val="24"/>
        </w:rPr>
        <w:tab/>
      </w:r>
      <w:r>
        <w:rPr>
          <w:noProof/>
          <w:szCs w:val="24"/>
        </w:rPr>
        <w:t>Application of Division</w:t>
      </w:r>
      <w:r>
        <w:rPr>
          <w:noProof/>
        </w:rPr>
        <w:tab/>
      </w:r>
      <w:r>
        <w:rPr>
          <w:noProof/>
        </w:rPr>
        <w:fldChar w:fldCharType="begin"/>
      </w:r>
      <w:r>
        <w:rPr>
          <w:noProof/>
        </w:rPr>
        <w:instrText xml:space="preserve"> PAGEREF _Toc187134340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Obligatory standards and codes</w:t>
      </w:r>
      <w:r>
        <w:rPr>
          <w:noProof/>
        </w:rPr>
        <w:tab/>
      </w:r>
      <w:r>
        <w:rPr>
          <w:noProof/>
        </w:rPr>
        <w:fldChar w:fldCharType="begin"/>
      </w:r>
      <w:r>
        <w:rPr>
          <w:noProof/>
        </w:rPr>
        <w:instrText xml:space="preserve"> PAGEREF _Toc187134341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Information and training</w:t>
      </w:r>
      <w:r>
        <w:rPr>
          <w:noProof/>
        </w:rPr>
        <w:tab/>
      </w:r>
      <w:r>
        <w:rPr>
          <w:noProof/>
        </w:rPr>
        <w:fldChar w:fldCharType="begin"/>
      </w:r>
      <w:r>
        <w:rPr>
          <w:noProof/>
        </w:rPr>
        <w:instrText xml:space="preserve"> PAGEREF _Toc187134342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Action when danger reported</w:t>
      </w:r>
      <w:r>
        <w:rPr>
          <w:noProof/>
        </w:rPr>
        <w:tab/>
      </w:r>
      <w:r>
        <w:rPr>
          <w:noProof/>
        </w:rPr>
        <w:fldChar w:fldCharType="begin"/>
      </w:r>
      <w:r>
        <w:rPr>
          <w:noProof/>
        </w:rPr>
        <w:instrText xml:space="preserve"> PAGEREF _Toc187134343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3 — Safety case provisions</w:t>
      </w:r>
    </w:p>
    <w:p>
      <w:pPr>
        <w:pStyle w:val="TOC4"/>
        <w:tabs>
          <w:tab w:val="left" w:pos="1701"/>
        </w:tabs>
        <w:rPr>
          <w:noProof/>
          <w:sz w:val="24"/>
          <w:szCs w:val="24"/>
        </w:rPr>
      </w:pPr>
      <w:r>
        <w:rPr>
          <w:noProof/>
          <w:szCs w:val="24"/>
        </w:rPr>
        <w:t>27.</w:t>
      </w:r>
      <w:r>
        <w:rPr>
          <w:noProof/>
          <w:sz w:val="24"/>
          <w:szCs w:val="24"/>
        </w:rPr>
        <w:tab/>
      </w:r>
      <w:r>
        <w:rPr>
          <w:noProof/>
          <w:szCs w:val="24"/>
        </w:rPr>
        <w:t>Submission of safety case</w:t>
      </w:r>
      <w:r>
        <w:rPr>
          <w:noProof/>
        </w:rPr>
        <w:tab/>
      </w:r>
      <w:r>
        <w:rPr>
          <w:noProof/>
        </w:rPr>
        <w:fldChar w:fldCharType="begin"/>
      </w:r>
      <w:r>
        <w:rPr>
          <w:noProof/>
        </w:rPr>
        <w:instrText xml:space="preserve"> PAGEREF _Toc187134345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Exemption</w:t>
      </w:r>
      <w:r>
        <w:rPr>
          <w:noProof/>
        </w:rPr>
        <w:tab/>
      </w:r>
      <w:r>
        <w:rPr>
          <w:noProof/>
        </w:rPr>
        <w:fldChar w:fldCharType="begin"/>
      </w:r>
      <w:r>
        <w:rPr>
          <w:noProof/>
        </w:rPr>
        <w:instrText xml:space="preserve"> PAGEREF _Toc187134346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Guidelines</w:t>
      </w:r>
      <w:r>
        <w:rPr>
          <w:noProof/>
        </w:rPr>
        <w:tab/>
      </w:r>
      <w:r>
        <w:rPr>
          <w:noProof/>
        </w:rPr>
        <w:fldChar w:fldCharType="begin"/>
      </w:r>
      <w:r>
        <w:rPr>
          <w:noProof/>
        </w:rPr>
        <w:instrText xml:space="preserve"> PAGEREF _Toc187134347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Nomination of person to perform auditing role</w:t>
      </w:r>
      <w:r>
        <w:rPr>
          <w:noProof/>
        </w:rPr>
        <w:tab/>
      </w:r>
      <w:r>
        <w:rPr>
          <w:noProof/>
        </w:rPr>
        <w:fldChar w:fldCharType="begin"/>
      </w:r>
      <w:r>
        <w:rPr>
          <w:noProof/>
        </w:rPr>
        <w:instrText xml:space="preserve"> PAGEREF _Toc187134348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Preliminary certification of safety case</w:t>
      </w:r>
      <w:r>
        <w:rPr>
          <w:noProof/>
        </w:rPr>
        <w:tab/>
      </w:r>
      <w:r>
        <w:rPr>
          <w:noProof/>
        </w:rPr>
        <w:fldChar w:fldCharType="begin"/>
      </w:r>
      <w:r>
        <w:rPr>
          <w:noProof/>
        </w:rPr>
        <w:instrText xml:space="preserve"> PAGEREF _Toc187134349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Approval of safety case for purposes of final certification</w:t>
      </w:r>
      <w:r>
        <w:rPr>
          <w:noProof/>
        </w:rPr>
        <w:tab/>
      </w:r>
      <w:r>
        <w:rPr>
          <w:noProof/>
        </w:rPr>
        <w:fldChar w:fldCharType="begin"/>
      </w:r>
      <w:r>
        <w:rPr>
          <w:noProof/>
        </w:rPr>
        <w:instrText xml:space="preserve"> PAGEREF _Toc187134350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Final certification of safety case</w:t>
      </w:r>
      <w:r>
        <w:rPr>
          <w:noProof/>
        </w:rPr>
        <w:tab/>
      </w:r>
      <w:r>
        <w:rPr>
          <w:noProof/>
        </w:rPr>
        <w:fldChar w:fldCharType="begin"/>
      </w:r>
      <w:r>
        <w:rPr>
          <w:noProof/>
        </w:rPr>
        <w:instrText xml:space="preserve"> PAGEREF _Toc187134351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Acceptance or rejection of safety case</w:t>
      </w:r>
      <w:r>
        <w:rPr>
          <w:noProof/>
        </w:rPr>
        <w:tab/>
      </w:r>
      <w:r>
        <w:rPr>
          <w:noProof/>
        </w:rPr>
        <w:fldChar w:fldCharType="begin"/>
      </w:r>
      <w:r>
        <w:rPr>
          <w:noProof/>
        </w:rPr>
        <w:instrText xml:space="preserve"> PAGEREF _Toc187134352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Implementation of safety case</w:t>
      </w:r>
      <w:r>
        <w:rPr>
          <w:noProof/>
        </w:rPr>
        <w:tab/>
      </w:r>
      <w:r>
        <w:rPr>
          <w:noProof/>
        </w:rPr>
        <w:fldChar w:fldCharType="begin"/>
      </w:r>
      <w:r>
        <w:rPr>
          <w:noProof/>
        </w:rPr>
        <w:instrText xml:space="preserve"> PAGEREF _Toc187134353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Period of operation of accepted safety case</w:t>
      </w:r>
      <w:r>
        <w:rPr>
          <w:noProof/>
        </w:rPr>
        <w:tab/>
      </w:r>
      <w:r>
        <w:rPr>
          <w:noProof/>
        </w:rPr>
        <w:fldChar w:fldCharType="begin"/>
      </w:r>
      <w:r>
        <w:rPr>
          <w:noProof/>
        </w:rPr>
        <w:instrText xml:space="preserve"> PAGEREF _Toc187134354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Compliance with accepted safety case</w:t>
      </w:r>
      <w:r>
        <w:rPr>
          <w:noProof/>
        </w:rPr>
        <w:tab/>
      </w:r>
      <w:r>
        <w:rPr>
          <w:noProof/>
        </w:rPr>
        <w:fldChar w:fldCharType="begin"/>
      </w:r>
      <w:r>
        <w:rPr>
          <w:noProof/>
        </w:rPr>
        <w:instrText xml:space="preserve"> PAGEREF _Toc187134355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Periodical audit</w:t>
      </w:r>
      <w:r>
        <w:rPr>
          <w:noProof/>
        </w:rPr>
        <w:tab/>
      </w:r>
      <w:r>
        <w:rPr>
          <w:noProof/>
        </w:rPr>
        <w:fldChar w:fldCharType="begin"/>
      </w:r>
      <w:r>
        <w:rPr>
          <w:noProof/>
        </w:rPr>
        <w:instrText xml:space="preserve"> PAGEREF _Toc187134356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Amendment of accepted safety case</w:t>
      </w:r>
      <w:r>
        <w:rPr>
          <w:noProof/>
        </w:rPr>
        <w:tab/>
      </w:r>
      <w:r>
        <w:rPr>
          <w:noProof/>
        </w:rPr>
        <w:fldChar w:fldCharType="begin"/>
      </w:r>
      <w:r>
        <w:rPr>
          <w:noProof/>
        </w:rPr>
        <w:instrText xml:space="preserve"> PAGEREF _Toc187134357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Director may require amendment of accepted safety case</w:t>
      </w:r>
      <w:r>
        <w:rPr>
          <w:noProof/>
        </w:rPr>
        <w:tab/>
      </w:r>
      <w:r>
        <w:rPr>
          <w:noProof/>
        </w:rPr>
        <w:fldChar w:fldCharType="begin"/>
      </w:r>
      <w:r>
        <w:rPr>
          <w:noProof/>
        </w:rPr>
        <w:instrText xml:space="preserve"> PAGEREF _Toc187134358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Records</w:t>
      </w:r>
      <w:r>
        <w:rPr>
          <w:noProof/>
        </w:rPr>
        <w:tab/>
      </w:r>
      <w:r>
        <w:rPr>
          <w:noProof/>
        </w:rPr>
        <w:fldChar w:fldCharType="begin"/>
      </w:r>
      <w:r>
        <w:rPr>
          <w:noProof/>
        </w:rPr>
        <w:instrText xml:space="preserve"> PAGEREF _Toc187134359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4 — Notification, investigation and reporting of incidents</w:t>
      </w:r>
    </w:p>
    <w:p>
      <w:pPr>
        <w:pStyle w:val="TOC4"/>
        <w:tabs>
          <w:tab w:val="left" w:pos="1701"/>
        </w:tabs>
        <w:rPr>
          <w:noProof/>
          <w:sz w:val="24"/>
          <w:szCs w:val="24"/>
        </w:rPr>
      </w:pPr>
      <w:r>
        <w:rPr>
          <w:noProof/>
          <w:szCs w:val="24"/>
        </w:rPr>
        <w:t>42.</w:t>
      </w:r>
      <w:r>
        <w:rPr>
          <w:noProof/>
          <w:sz w:val="24"/>
          <w:szCs w:val="24"/>
        </w:rPr>
        <w:tab/>
      </w:r>
      <w:r>
        <w:rPr>
          <w:noProof/>
          <w:szCs w:val="24"/>
        </w:rPr>
        <w:t>Definitions</w:t>
      </w:r>
      <w:r>
        <w:rPr>
          <w:noProof/>
        </w:rPr>
        <w:tab/>
      </w:r>
      <w:r>
        <w:rPr>
          <w:noProof/>
        </w:rPr>
        <w:fldChar w:fldCharType="begin"/>
      </w:r>
      <w:r>
        <w:rPr>
          <w:noProof/>
        </w:rPr>
        <w:instrText xml:space="preserve"> PAGEREF _Toc187134361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Notifiable incidents</w:t>
      </w:r>
      <w:r>
        <w:rPr>
          <w:noProof/>
        </w:rPr>
        <w:tab/>
      </w:r>
      <w:r>
        <w:rPr>
          <w:noProof/>
        </w:rPr>
        <w:fldChar w:fldCharType="begin"/>
      </w:r>
      <w:r>
        <w:rPr>
          <w:noProof/>
        </w:rPr>
        <w:instrText xml:space="preserve"> PAGEREF _Toc187134362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Network operator to investigate and report on notifiable incidents</w:t>
      </w:r>
      <w:r>
        <w:rPr>
          <w:noProof/>
        </w:rPr>
        <w:tab/>
      </w:r>
      <w:r>
        <w:rPr>
          <w:noProof/>
        </w:rPr>
        <w:fldChar w:fldCharType="begin"/>
      </w:r>
      <w:r>
        <w:rPr>
          <w:noProof/>
        </w:rPr>
        <w:instrText xml:space="preserve"> PAGEREF _Toc187134363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Investigation of notifiable incidents by Director</w:t>
      </w:r>
      <w:r>
        <w:rPr>
          <w:noProof/>
        </w:rPr>
        <w:tab/>
      </w:r>
      <w:r>
        <w:rPr>
          <w:noProof/>
        </w:rPr>
        <w:fldChar w:fldCharType="begin"/>
      </w:r>
      <w:r>
        <w:rPr>
          <w:noProof/>
        </w:rPr>
        <w:instrText xml:space="preserve"> PAGEREF _Toc187134364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Examination of site of notifiable incident</w:t>
      </w:r>
      <w:r>
        <w:rPr>
          <w:noProof/>
        </w:rPr>
        <w:tab/>
      </w:r>
      <w:r>
        <w:rPr>
          <w:noProof/>
        </w:rPr>
        <w:fldChar w:fldCharType="begin"/>
      </w:r>
      <w:r>
        <w:rPr>
          <w:noProof/>
        </w:rPr>
        <w:instrText xml:space="preserve"> PAGEREF _Toc187134365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Reporting requirements for gas incidents</w:t>
      </w:r>
      <w:r>
        <w:rPr>
          <w:noProof/>
        </w:rPr>
        <w:tab/>
      </w:r>
      <w:r>
        <w:rPr>
          <w:noProof/>
        </w:rPr>
        <w:fldChar w:fldCharType="begin"/>
      </w:r>
      <w:r>
        <w:rPr>
          <w:noProof/>
        </w:rPr>
        <w:instrText xml:space="preserve"> PAGEREF _Toc187134366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5 — Gas plant safety</w:t>
      </w:r>
    </w:p>
    <w:p>
      <w:pPr>
        <w:pStyle w:val="TOC4"/>
        <w:tabs>
          <w:tab w:val="left" w:pos="1701"/>
        </w:tabs>
        <w:rPr>
          <w:noProof/>
          <w:sz w:val="24"/>
          <w:szCs w:val="24"/>
        </w:rPr>
      </w:pPr>
      <w:r>
        <w:rPr>
          <w:noProof/>
          <w:szCs w:val="24"/>
        </w:rPr>
        <w:t>48.</w:t>
      </w:r>
      <w:r>
        <w:rPr>
          <w:noProof/>
          <w:sz w:val="24"/>
          <w:szCs w:val="24"/>
        </w:rPr>
        <w:tab/>
      </w:r>
      <w:r>
        <w:rPr>
          <w:noProof/>
          <w:szCs w:val="24"/>
        </w:rPr>
        <w:t>Application</w:t>
      </w:r>
      <w:r>
        <w:rPr>
          <w:noProof/>
        </w:rPr>
        <w:tab/>
      </w:r>
      <w:r>
        <w:rPr>
          <w:noProof/>
        </w:rPr>
        <w:fldChar w:fldCharType="begin"/>
      </w:r>
      <w:r>
        <w:rPr>
          <w:noProof/>
        </w:rPr>
        <w:instrText xml:space="preserve"> PAGEREF _Toc187134368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Plant operator to submit safety case</w:t>
      </w:r>
      <w:r>
        <w:rPr>
          <w:noProof/>
        </w:rPr>
        <w:tab/>
      </w:r>
      <w:r>
        <w:rPr>
          <w:noProof/>
        </w:rPr>
        <w:fldChar w:fldCharType="begin"/>
      </w:r>
      <w:r>
        <w:rPr>
          <w:noProof/>
        </w:rPr>
        <w:instrText xml:space="preserve"> PAGEREF _Toc187134369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Exemption</w:t>
      </w:r>
      <w:r>
        <w:rPr>
          <w:noProof/>
        </w:rPr>
        <w:tab/>
      </w:r>
      <w:r>
        <w:rPr>
          <w:noProof/>
        </w:rPr>
        <w:fldChar w:fldCharType="begin"/>
      </w:r>
      <w:r>
        <w:rPr>
          <w:noProof/>
        </w:rPr>
        <w:instrText xml:space="preserve"> PAGEREF _Toc187134370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Guidelines</w:t>
      </w:r>
      <w:r>
        <w:rPr>
          <w:noProof/>
        </w:rPr>
        <w:tab/>
      </w:r>
      <w:r>
        <w:rPr>
          <w:noProof/>
        </w:rPr>
        <w:fldChar w:fldCharType="begin"/>
      </w:r>
      <w:r>
        <w:rPr>
          <w:noProof/>
        </w:rPr>
        <w:instrText xml:space="preserve"> PAGEREF _Toc187134371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Nomination of person to perform auditing role</w:t>
      </w:r>
      <w:r>
        <w:rPr>
          <w:noProof/>
        </w:rPr>
        <w:tab/>
      </w:r>
      <w:r>
        <w:rPr>
          <w:noProof/>
        </w:rPr>
        <w:fldChar w:fldCharType="begin"/>
      </w:r>
      <w:r>
        <w:rPr>
          <w:noProof/>
        </w:rPr>
        <w:instrText xml:space="preserve"> PAGEREF _Toc187134372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Certification of safety case</w:t>
      </w:r>
      <w:r>
        <w:rPr>
          <w:noProof/>
        </w:rPr>
        <w:tab/>
      </w:r>
      <w:r>
        <w:rPr>
          <w:noProof/>
        </w:rPr>
        <w:fldChar w:fldCharType="begin"/>
      </w:r>
      <w:r>
        <w:rPr>
          <w:noProof/>
        </w:rPr>
        <w:instrText xml:space="preserve"> PAGEREF _Toc187134373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Acceptance or rejection of safety case</w:t>
      </w:r>
      <w:r>
        <w:rPr>
          <w:noProof/>
        </w:rPr>
        <w:tab/>
      </w:r>
      <w:r>
        <w:rPr>
          <w:noProof/>
        </w:rPr>
        <w:fldChar w:fldCharType="begin"/>
      </w:r>
      <w:r>
        <w:rPr>
          <w:noProof/>
        </w:rPr>
        <w:instrText xml:space="preserve"> PAGEREF _Toc187134374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Submission of modified safety case</w:t>
      </w:r>
      <w:r>
        <w:rPr>
          <w:noProof/>
        </w:rPr>
        <w:tab/>
      </w:r>
      <w:r>
        <w:rPr>
          <w:noProof/>
        </w:rPr>
        <w:fldChar w:fldCharType="begin"/>
      </w:r>
      <w:r>
        <w:rPr>
          <w:noProof/>
        </w:rPr>
        <w:instrText xml:space="preserve"> PAGEREF _Toc187134375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Acceptance or rejection of modified safety case</w:t>
      </w:r>
      <w:r>
        <w:rPr>
          <w:noProof/>
        </w:rPr>
        <w:tab/>
      </w:r>
      <w:r>
        <w:rPr>
          <w:noProof/>
        </w:rPr>
        <w:fldChar w:fldCharType="begin"/>
      </w:r>
      <w:r>
        <w:rPr>
          <w:noProof/>
        </w:rPr>
        <w:instrText xml:space="preserve"> PAGEREF _Toc187134376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Director may determine safety case for gas plant</w:t>
      </w:r>
      <w:r>
        <w:rPr>
          <w:noProof/>
        </w:rPr>
        <w:tab/>
      </w:r>
      <w:r>
        <w:rPr>
          <w:noProof/>
        </w:rPr>
        <w:fldChar w:fldCharType="begin"/>
      </w:r>
      <w:r>
        <w:rPr>
          <w:noProof/>
        </w:rPr>
        <w:instrText xml:space="preserve"> PAGEREF _Toc187134377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When accepted safety case has effect</w:t>
      </w:r>
      <w:r>
        <w:rPr>
          <w:noProof/>
        </w:rPr>
        <w:tab/>
      </w:r>
      <w:r>
        <w:rPr>
          <w:noProof/>
        </w:rPr>
        <w:fldChar w:fldCharType="begin"/>
      </w:r>
      <w:r>
        <w:rPr>
          <w:noProof/>
        </w:rPr>
        <w:instrText xml:space="preserve"> PAGEREF _Toc187134378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Accepted safety case required for operation of gas plant</w:t>
      </w:r>
      <w:r>
        <w:rPr>
          <w:noProof/>
        </w:rPr>
        <w:tab/>
      </w:r>
      <w:r>
        <w:rPr>
          <w:noProof/>
        </w:rPr>
        <w:fldChar w:fldCharType="begin"/>
      </w:r>
      <w:r>
        <w:rPr>
          <w:noProof/>
        </w:rPr>
        <w:instrText xml:space="preserve"> PAGEREF _Toc187134379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Compliance with accepted safety case</w:t>
      </w:r>
      <w:r>
        <w:rPr>
          <w:noProof/>
        </w:rPr>
        <w:tab/>
      </w:r>
      <w:r>
        <w:rPr>
          <w:noProof/>
        </w:rPr>
        <w:fldChar w:fldCharType="begin"/>
      </w:r>
      <w:r>
        <w:rPr>
          <w:noProof/>
        </w:rPr>
        <w:instrText xml:space="preserve"> PAGEREF _Toc187134380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Periodical audit</w:t>
      </w:r>
      <w:r>
        <w:rPr>
          <w:noProof/>
        </w:rPr>
        <w:tab/>
      </w:r>
      <w:r>
        <w:rPr>
          <w:noProof/>
        </w:rPr>
        <w:fldChar w:fldCharType="begin"/>
      </w:r>
      <w:r>
        <w:rPr>
          <w:noProof/>
        </w:rPr>
        <w:instrText xml:space="preserve"> PAGEREF _Toc187134381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Amendment of accepted safety case</w:t>
      </w:r>
      <w:r>
        <w:rPr>
          <w:noProof/>
        </w:rPr>
        <w:tab/>
      </w:r>
      <w:r>
        <w:rPr>
          <w:noProof/>
        </w:rPr>
        <w:fldChar w:fldCharType="begin"/>
      </w:r>
      <w:r>
        <w:rPr>
          <w:noProof/>
        </w:rPr>
        <w:instrText xml:space="preserve"> PAGEREF _Toc187134382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Director may require amendment of accepted safety case</w:t>
      </w:r>
      <w:r>
        <w:rPr>
          <w:noProof/>
        </w:rPr>
        <w:tab/>
      </w:r>
      <w:r>
        <w:rPr>
          <w:noProof/>
        </w:rPr>
        <w:fldChar w:fldCharType="begin"/>
      </w:r>
      <w:r>
        <w:rPr>
          <w:noProof/>
        </w:rPr>
        <w:instrText xml:space="preserve"> PAGEREF _Toc187134383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Records</w:t>
      </w:r>
      <w:r>
        <w:rPr>
          <w:noProof/>
        </w:rPr>
        <w:tab/>
      </w:r>
      <w:r>
        <w:rPr>
          <w:noProof/>
        </w:rPr>
        <w:fldChar w:fldCharType="begin"/>
      </w:r>
      <w:r>
        <w:rPr>
          <w:noProof/>
        </w:rPr>
        <w:instrText xml:space="preserve"> PAGEREF _Toc187134384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6 — Review of decisions</w:t>
      </w:r>
    </w:p>
    <w:p>
      <w:pPr>
        <w:pStyle w:val="TOC4"/>
        <w:tabs>
          <w:tab w:val="left" w:pos="1701"/>
        </w:tabs>
        <w:rPr>
          <w:noProof/>
          <w:sz w:val="24"/>
          <w:szCs w:val="24"/>
        </w:rPr>
      </w:pPr>
      <w:r>
        <w:rPr>
          <w:noProof/>
          <w:szCs w:val="24"/>
        </w:rPr>
        <w:t>65.</w:t>
      </w:r>
      <w:r>
        <w:rPr>
          <w:noProof/>
          <w:sz w:val="24"/>
          <w:szCs w:val="24"/>
        </w:rPr>
        <w:tab/>
      </w:r>
      <w:r>
        <w:rPr>
          <w:noProof/>
          <w:szCs w:val="24"/>
        </w:rPr>
        <w:t>Definitions</w:t>
      </w:r>
      <w:r>
        <w:rPr>
          <w:noProof/>
        </w:rPr>
        <w:tab/>
      </w:r>
      <w:r>
        <w:rPr>
          <w:noProof/>
        </w:rPr>
        <w:fldChar w:fldCharType="begin"/>
      </w:r>
      <w:r>
        <w:rPr>
          <w:noProof/>
        </w:rPr>
        <w:instrText xml:space="preserve"> PAGEREF _Toc187134386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Decisions to which this Part applies</w:t>
      </w:r>
      <w:r>
        <w:rPr>
          <w:noProof/>
        </w:rPr>
        <w:tab/>
      </w:r>
      <w:r>
        <w:rPr>
          <w:noProof/>
        </w:rPr>
        <w:fldChar w:fldCharType="begin"/>
      </w:r>
      <w:r>
        <w:rPr>
          <w:noProof/>
        </w:rPr>
        <w:instrText xml:space="preserve"> PAGEREF _Toc187134387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Application for review</w:t>
      </w:r>
      <w:r>
        <w:rPr>
          <w:noProof/>
        </w:rPr>
        <w:tab/>
      </w:r>
      <w:r>
        <w:rPr>
          <w:noProof/>
        </w:rPr>
        <w:fldChar w:fldCharType="begin"/>
      </w:r>
      <w:r>
        <w:rPr>
          <w:noProof/>
        </w:rPr>
        <w:instrText xml:space="preserve"> PAGEREF _Toc187134388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Review panel</w:t>
      </w:r>
      <w:r>
        <w:rPr>
          <w:noProof/>
        </w:rPr>
        <w:tab/>
      </w:r>
      <w:r>
        <w:rPr>
          <w:noProof/>
        </w:rPr>
        <w:fldChar w:fldCharType="begin"/>
      </w:r>
      <w:r>
        <w:rPr>
          <w:noProof/>
        </w:rPr>
        <w:instrText xml:space="preserve"> PAGEREF _Toc187134389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Procedure on review</w:t>
      </w:r>
      <w:r>
        <w:rPr>
          <w:noProof/>
        </w:rPr>
        <w:tab/>
      </w:r>
      <w:r>
        <w:rPr>
          <w:noProof/>
        </w:rPr>
        <w:fldChar w:fldCharType="begin"/>
      </w:r>
      <w:r>
        <w:rPr>
          <w:noProof/>
        </w:rPr>
        <w:instrText xml:space="preserve"> PAGEREF _Toc187134390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Costs</w:t>
      </w:r>
      <w:r>
        <w:rPr>
          <w:noProof/>
        </w:rPr>
        <w:tab/>
      </w:r>
      <w:r>
        <w:rPr>
          <w:noProof/>
        </w:rPr>
        <w:fldChar w:fldCharType="begin"/>
      </w:r>
      <w:r>
        <w:rPr>
          <w:noProof/>
        </w:rPr>
        <w:instrText xml:space="preserve"> PAGEREF _Toc187134391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30"/>
        </w:rPr>
        <w:t>Part 7 — Repeal</w:t>
      </w:r>
    </w:p>
    <w:p>
      <w:pPr>
        <w:pStyle w:val="TOC4"/>
        <w:tabs>
          <w:tab w:val="left" w:pos="1701"/>
        </w:tabs>
        <w:rPr>
          <w:noProof/>
          <w:sz w:val="24"/>
          <w:szCs w:val="24"/>
        </w:rPr>
      </w:pPr>
      <w:r>
        <w:rPr>
          <w:noProof/>
          <w:szCs w:val="24"/>
        </w:rPr>
        <w:t>71.</w:t>
      </w:r>
      <w:r>
        <w:rPr>
          <w:noProof/>
          <w:sz w:val="24"/>
          <w:szCs w:val="24"/>
        </w:rPr>
        <w:tab/>
      </w:r>
      <w:r>
        <w:rPr>
          <w:noProof/>
          <w:szCs w:val="24"/>
        </w:rPr>
        <w:t>Repeal</w:t>
      </w:r>
      <w:r>
        <w:rPr>
          <w:noProof/>
        </w:rPr>
        <w:tab/>
      </w:r>
      <w:r>
        <w:rPr>
          <w:noProof/>
        </w:rPr>
        <w:fldChar w:fldCharType="begin"/>
      </w:r>
      <w:r>
        <w:rPr>
          <w:noProof/>
        </w:rPr>
        <w:instrText xml:space="preserve"> PAGEREF _Toc187134393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szCs w:val="24"/>
        </w:rPr>
      </w:pPr>
      <w:r>
        <w:rPr>
          <w:noProof/>
          <w:szCs w:val="28"/>
        </w:rPr>
        <w:t>Schedule 1 — Standards and codes containing provisions compliance with which may be evidence</w:t>
      </w:r>
    </w:p>
    <w:p>
      <w:pPr>
        <w:pStyle w:val="TOC2"/>
        <w:tabs>
          <w:tab w:val="right" w:leader="dot" w:pos="7086"/>
        </w:tabs>
        <w:rPr>
          <w:b w:val="0"/>
          <w:noProof/>
          <w:sz w:val="24"/>
          <w:szCs w:val="24"/>
        </w:rPr>
      </w:pPr>
      <w:r>
        <w:rPr>
          <w:noProof/>
          <w:szCs w:val="28"/>
        </w:rPr>
        <w:t>Schedule 2 — Standards and codes containing obligatory provisions for network operators</w:t>
      </w:r>
    </w:p>
    <w:p>
      <w:pPr>
        <w:pStyle w:val="TOC2"/>
        <w:tabs>
          <w:tab w:val="right" w:leader="dot" w:pos="7086"/>
        </w:tabs>
        <w:rPr>
          <w:b w:val="0"/>
          <w:noProof/>
          <w:sz w:val="24"/>
          <w:szCs w:val="24"/>
        </w:rPr>
      </w:pPr>
      <w:r>
        <w:rPr>
          <w:noProof/>
          <w:szCs w:val="28"/>
        </w:rPr>
        <w:t>Schedule 3 — Requirements for gas plant safety case</w:t>
      </w:r>
    </w:p>
    <w:p>
      <w:pPr>
        <w:pStyle w:val="TOC2"/>
        <w:tabs>
          <w:tab w:val="right" w:leader="dot" w:pos="7086"/>
        </w:tabs>
        <w:rPr>
          <w:b w:val="0"/>
          <w:noProof/>
          <w:sz w:val="24"/>
          <w:szCs w:val="24"/>
        </w:rPr>
      </w:pPr>
      <w:r>
        <w:rPr>
          <w:noProof/>
          <w:sz w:val="24"/>
          <w:szCs w:val="28"/>
        </w:rPr>
        <w:t>Part 1</w:t>
      </w:r>
      <w:r>
        <w:rPr>
          <w:noProof/>
          <w:szCs w:val="28"/>
        </w:rPr>
        <w:t xml:space="preserve"> — </w:t>
      </w:r>
      <w:r>
        <w:rPr>
          <w:noProof/>
          <w:sz w:val="24"/>
          <w:szCs w:val="28"/>
        </w:rPr>
        <w:t>Preliminary</w:t>
      </w:r>
    </w:p>
    <w:p>
      <w:pPr>
        <w:pStyle w:val="TOC2"/>
        <w:tabs>
          <w:tab w:val="right" w:leader="dot" w:pos="7086"/>
        </w:tabs>
        <w:rPr>
          <w:b w:val="0"/>
          <w:noProof/>
          <w:sz w:val="24"/>
          <w:szCs w:val="24"/>
        </w:rPr>
      </w:pPr>
      <w:r>
        <w:rPr>
          <w:noProof/>
          <w:sz w:val="24"/>
          <w:szCs w:val="28"/>
        </w:rPr>
        <w:t>Part 2</w:t>
      </w:r>
      <w:r>
        <w:rPr>
          <w:noProof/>
          <w:szCs w:val="28"/>
        </w:rPr>
        <w:t xml:space="preserve"> — </w:t>
      </w:r>
      <w:r>
        <w:rPr>
          <w:noProof/>
          <w:sz w:val="24"/>
          <w:szCs w:val="28"/>
        </w:rPr>
        <w:t>Content of safety case</w:t>
      </w:r>
    </w:p>
    <w:p>
      <w:pPr>
        <w:pStyle w:val="TOC2"/>
        <w:tabs>
          <w:tab w:val="right" w:leader="dot" w:pos="7086"/>
        </w:tabs>
        <w:rPr>
          <w:b w:val="0"/>
          <w:noProof/>
          <w:sz w:val="24"/>
          <w:szCs w:val="24"/>
        </w:rPr>
      </w:pPr>
      <w:r>
        <w:rPr>
          <w:noProof/>
          <w:sz w:val="24"/>
          <w:szCs w:val="28"/>
        </w:rPr>
        <w:t>Part 3</w:t>
      </w:r>
      <w:r>
        <w:rPr>
          <w:noProof/>
          <w:szCs w:val="28"/>
        </w:rPr>
        <w:t xml:space="preserve"> — </w:t>
      </w:r>
      <w:r>
        <w:rPr>
          <w:noProof/>
          <w:sz w:val="24"/>
          <w:szCs w:val="28"/>
        </w:rPr>
        <w:t>Content of safety management system</w:t>
      </w:r>
    </w:p>
    <w:p>
      <w:pPr>
        <w:pStyle w:val="TOC2"/>
        <w:tabs>
          <w:tab w:val="right" w:leader="dot" w:pos="7086"/>
        </w:tabs>
        <w:rPr>
          <w:b w:val="0"/>
          <w:noProof/>
          <w:sz w:val="24"/>
          <w:szCs w:val="24"/>
        </w:rPr>
      </w:pPr>
      <w:r>
        <w:rPr>
          <w:noProof/>
          <w:szCs w:val="28"/>
        </w:rPr>
        <w:t>Schedule 4 — Sub</w:t>
      </w:r>
      <w:r>
        <w:rPr>
          <w:noProof/>
          <w:szCs w:val="28"/>
        </w:rPr>
        <w:noBreakHyphen/>
        <w:t>networks</w:t>
      </w:r>
    </w:p>
    <w:p>
      <w:pPr>
        <w:pStyle w:val="TOC2"/>
        <w:tabs>
          <w:tab w:val="right" w:leader="dot" w:pos="7086"/>
        </w:tabs>
        <w:rPr>
          <w:b w:val="0"/>
          <w:noProof/>
          <w:sz w:val="24"/>
          <w:szCs w:val="24"/>
        </w:rPr>
      </w:pPr>
      <w:r>
        <w:rPr>
          <w:noProof/>
          <w:szCs w:val="26"/>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pPr>
      <w:r>
        <w:t>Gas Standards Act 1972</w:t>
      </w:r>
    </w:p>
    <w:p>
      <w:pPr>
        <w:pStyle w:val="NameofActReg"/>
      </w:pPr>
      <w:r>
        <w:t>Gas Standards (Gas Supply and System Safety) Regulations 2000</w:t>
      </w:r>
    </w:p>
    <w:p>
      <w:pPr>
        <w:pStyle w:val="Heading2"/>
        <w:pageBreakBefore w:val="0"/>
      </w:pPr>
      <w:bookmarkStart w:id="1" w:name="_Toc187134295"/>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423332722"/>
      <w:bookmarkStart w:id="3" w:name="_Toc425219441"/>
      <w:bookmarkStart w:id="4" w:name="_Toc426249308"/>
      <w:bookmarkStart w:id="5" w:name="_Toc427384818"/>
      <w:bookmarkStart w:id="6" w:name="_Toc482683032"/>
      <w:bookmarkStart w:id="7" w:name="_Toc187134296"/>
      <w:r>
        <w:rPr>
          <w:rStyle w:val="CharSectno"/>
        </w:rPr>
        <w:t>1</w:t>
      </w:r>
      <w:r>
        <w:t>.</w:t>
      </w:r>
      <w:r>
        <w:tab/>
        <w:t>Citation</w:t>
      </w:r>
      <w:bookmarkEnd w:id="2"/>
      <w:bookmarkEnd w:id="3"/>
      <w:bookmarkEnd w:id="4"/>
      <w:bookmarkEnd w:id="5"/>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p>
    <w:p>
      <w:pPr>
        <w:pStyle w:val="Heading5"/>
        <w:rPr>
          <w:spacing w:val="-2"/>
        </w:rPr>
      </w:pPr>
      <w:bookmarkStart w:id="8" w:name="_Toc423332723"/>
      <w:bookmarkStart w:id="9" w:name="_Toc425219442"/>
      <w:bookmarkStart w:id="10" w:name="_Toc426249309"/>
      <w:bookmarkStart w:id="11" w:name="_Toc427384819"/>
      <w:bookmarkStart w:id="12" w:name="_Toc482683033"/>
      <w:bookmarkStart w:id="13" w:name="_Toc187134297"/>
      <w:r>
        <w:rPr>
          <w:rStyle w:val="CharSectno"/>
        </w:rPr>
        <w:t>2</w:t>
      </w:r>
      <w:r>
        <w:rPr>
          <w:spacing w:val="-2"/>
        </w:rPr>
        <w:t>.</w:t>
      </w:r>
      <w:r>
        <w:rPr>
          <w:spacing w:val="-2"/>
        </w:rPr>
        <w:tab/>
        <w:t>Commencement</w:t>
      </w:r>
      <w:bookmarkEnd w:id="8"/>
      <w:bookmarkEnd w:id="9"/>
      <w:bookmarkEnd w:id="10"/>
      <w:bookmarkEnd w:id="11"/>
      <w:bookmarkEnd w:id="12"/>
      <w:bookmarkEnd w:id="13"/>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t>.</w:t>
      </w:r>
    </w:p>
    <w:p>
      <w:pPr>
        <w:pStyle w:val="Heading5"/>
      </w:pPr>
      <w:bookmarkStart w:id="14" w:name="_Toc482683034"/>
      <w:bookmarkStart w:id="15" w:name="_Toc187134298"/>
      <w:r>
        <w:rPr>
          <w:rStyle w:val="CharSectno"/>
        </w:rPr>
        <w:t>3</w:t>
      </w:r>
      <w:r>
        <w:t>.</w:t>
      </w:r>
      <w:r>
        <w:tab/>
        <w:t>Definitions</w:t>
      </w:r>
      <w:bookmarkEnd w:id="14"/>
      <w:bookmarkEnd w:id="15"/>
    </w:p>
    <w:p>
      <w:pPr>
        <w:pStyle w:val="Subsection"/>
      </w:pPr>
      <w:r>
        <w:tab/>
        <w:t>(1)</w:t>
      </w:r>
      <w:r>
        <w:tab/>
        <w:t>In these regulations, unless the contrary intention appears —</w:t>
      </w:r>
    </w:p>
    <w:p>
      <w:pPr>
        <w:pStyle w:val="Defstart"/>
      </w:pPr>
      <w:r>
        <w:tab/>
      </w:r>
      <w:r>
        <w:rPr>
          <w:b/>
        </w:rPr>
        <w:t>“</w:t>
      </w:r>
      <w:r>
        <w:rPr>
          <w:rStyle w:val="CharDefText"/>
        </w:rPr>
        <w:t>accepted safety case</w:t>
      </w:r>
      <w:r>
        <w:rPr>
          <w:b/>
        </w:rPr>
        <w:t>”</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keepNext/>
        <w:keepLines/>
      </w:pPr>
      <w:r>
        <w:tab/>
      </w:r>
      <w:r>
        <w:rPr>
          <w:b/>
        </w:rPr>
        <w:t>“</w:t>
      </w:r>
      <w:r>
        <w:rPr>
          <w:rStyle w:val="CharDefText"/>
        </w:rPr>
        <w:t>AG</w:t>
      </w:r>
      <w:r>
        <w:rPr>
          <w:b/>
        </w:rPr>
        <w:t>”</w:t>
      </w:r>
      <w:r>
        <w:t xml:space="preserve"> followed by a designation consisting of a number and a reference to a year, refers to the text, as from time to time amended and for the time being in force, of the document so designated, published by the Australian Gas Association;</w:t>
      </w:r>
    </w:p>
    <w:p>
      <w:pPr>
        <w:pStyle w:val="Defstart"/>
      </w:pPr>
      <w:r>
        <w:tab/>
      </w:r>
      <w:r>
        <w:rPr>
          <w:b/>
        </w:rPr>
        <w:t>“</w:t>
      </w:r>
      <w:r>
        <w:rPr>
          <w:rStyle w:val="CharDefText"/>
        </w:rPr>
        <w:t>AS</w:t>
      </w:r>
      <w:r>
        <w:rPr>
          <w:b/>
        </w:rPr>
        <w:t>”</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badged capacity</w:t>
      </w:r>
      <w:r>
        <w:rPr>
          <w:b/>
        </w:rPr>
        <w:t>”</w:t>
      </w:r>
      <w:r>
        <w:t xml:space="preserve"> means the capacity of a meter as shown on the manufacturer’s meter badge affixed to the meter;</w:t>
      </w:r>
    </w:p>
    <w:p>
      <w:pPr>
        <w:pStyle w:val="Defstart"/>
      </w:pPr>
      <w:r>
        <w:tab/>
      </w:r>
      <w:r>
        <w:rPr>
          <w:b/>
        </w:rPr>
        <w:t>“</w:t>
      </w:r>
      <w:r>
        <w:rPr>
          <w:rStyle w:val="CharDefText"/>
        </w:rPr>
        <w:t>cubic metre</w:t>
      </w:r>
      <w:r>
        <w:rPr>
          <w:b/>
        </w:rPr>
        <w:t>”</w:t>
      </w:r>
      <w:r>
        <w:t xml:space="preserve"> or </w:t>
      </w:r>
      <w:r>
        <w:rPr>
          <w:b/>
          <w:bCs/>
        </w:rPr>
        <w:t>“</w:t>
      </w:r>
      <w:r>
        <w:rPr>
          <w:rStyle w:val="CharDefText"/>
        </w:rPr>
        <w:t>m3</w:t>
      </w:r>
      <w:r>
        <w:rPr>
          <w:b/>
          <w:bCs/>
        </w:rPr>
        <w:t>”</w:t>
      </w:r>
      <w:r>
        <w:t xml:space="preserve"> means a cubic metre at a pressure of 101.325 kPa (absolute) and a temperature of 15°C;</w:t>
      </w:r>
    </w:p>
    <w:p>
      <w:pPr>
        <w:pStyle w:val="Defstart"/>
      </w:pPr>
      <w:r>
        <w:tab/>
      </w:r>
      <w:r>
        <w:rPr>
          <w:b/>
        </w:rPr>
        <w:t>“</w:t>
      </w:r>
      <w:r>
        <w:rPr>
          <w:rStyle w:val="CharDefText"/>
        </w:rPr>
        <w:t>distribution system</w:t>
      </w:r>
      <w:r>
        <w:rPr>
          <w:b/>
        </w:rPr>
        <w:t>”</w:t>
      </w:r>
      <w:r>
        <w:t xml:space="preserve"> has the same meaning as it has in section 3 of the </w:t>
      </w:r>
      <w:r>
        <w:rPr>
          <w:i/>
        </w:rPr>
        <w:t>Energy Coordination Act 1994</w:t>
      </w:r>
      <w:r>
        <w:t>;</w:t>
      </w:r>
    </w:p>
    <w:p>
      <w:pPr>
        <w:pStyle w:val="Defstart"/>
        <w:keepNext/>
      </w:pPr>
      <w:r>
        <w:tab/>
      </w:r>
      <w:r>
        <w:rPr>
          <w:b/>
        </w:rPr>
        <w:t>“</w:t>
      </w:r>
      <w:r>
        <w:rPr>
          <w:rStyle w:val="CharDefText"/>
        </w:rPr>
        <w:t>employee</w:t>
      </w:r>
      <w:r>
        <w:rPr>
          <w:b/>
        </w:rPr>
        <w:t>”</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b/>
        </w:rPr>
        <w:t>“</w:t>
      </w:r>
      <w:r>
        <w:rPr>
          <w:rStyle w:val="CharDefText"/>
        </w:rPr>
        <w:t>gas plant</w:t>
      </w:r>
      <w:r>
        <w:rPr>
          <w:b/>
        </w:rPr>
        <w:t>”</w:t>
      </w:r>
      <w:r>
        <w:t xml:space="preserve"> means —</w:t>
      </w:r>
    </w:p>
    <w:p>
      <w:pPr>
        <w:pStyle w:val="Defpara"/>
      </w:pPr>
      <w:r>
        <w:tab/>
        <w:t>(a)</w:t>
      </w:r>
      <w:r>
        <w:tab/>
        <w:t>any system of pipes, equipment or apparatus utilised for the purpose of —</w:t>
      </w:r>
    </w:p>
    <w:p>
      <w:pPr>
        <w:pStyle w:val="Defsubpara"/>
      </w:pPr>
      <w:r>
        <w:tab/>
        <w:t>(i)</w:t>
      </w:r>
      <w:r>
        <w:tab/>
        <w:t>manufacturing, treating or storing gas with a view to supplying it to consumers through a distribution system; or</w:t>
      </w:r>
    </w:p>
    <w:p>
      <w:pPr>
        <w:pStyle w:val="Defsubpara"/>
      </w:pPr>
      <w:r>
        <w:tab/>
        <w:t>(ii)</w:t>
      </w:r>
      <w:r>
        <w:tab/>
        <w:t>converting gas from one form to another with a view to supplying it to consumers through a distribution system;</w:t>
      </w:r>
    </w:p>
    <w:p>
      <w:pPr>
        <w:pStyle w:val="Defpara"/>
      </w:pPr>
      <w:r>
        <w:tab/>
      </w:r>
      <w:r>
        <w:tab/>
        <w:t>and</w:t>
      </w:r>
    </w:p>
    <w:p>
      <w:pPr>
        <w:pStyle w:val="Defpara"/>
      </w:pPr>
      <w:r>
        <w:tab/>
        <w:t>(b)</w:t>
      </w:r>
      <w:r>
        <w:tab/>
        <w:t>any equipment or apparatus utilised in conjunction with anything referred to in paragraph (a),</w:t>
      </w:r>
    </w:p>
    <w:p>
      <w:pPr>
        <w:pStyle w:val="Defstart"/>
      </w:pPr>
      <w:r>
        <w:tab/>
      </w:r>
      <w:r>
        <w:tab/>
        <w:t xml:space="preserve">but does not include anything referred to in paragraph (a) or (b) that is connected to a pipeline within the meaning of the </w:t>
      </w:r>
      <w:r>
        <w:rPr>
          <w:i/>
        </w:rPr>
        <w:t>Petroleum Pipelines Act 1969;</w:t>
      </w:r>
    </w:p>
    <w:p>
      <w:pPr>
        <w:pStyle w:val="Defstart"/>
      </w:pPr>
      <w:r>
        <w:tab/>
      </w:r>
      <w:r>
        <w:rPr>
          <w:b/>
        </w:rPr>
        <w:t>“</w:t>
      </w:r>
      <w:r>
        <w:rPr>
          <w:rStyle w:val="CharDefText"/>
        </w:rPr>
        <w:t>higher heating value</w:t>
      </w:r>
      <w:r>
        <w:rPr>
          <w:b/>
        </w:rPr>
        <w:t>”</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rPr>
          <w:b/>
          <w:i/>
          <w:sz w:val="20"/>
        </w:rPr>
      </w:pPr>
      <w:r>
        <w:tab/>
      </w:r>
      <w:r>
        <w:rPr>
          <w:b/>
        </w:rPr>
        <w:t>“</w:t>
      </w:r>
      <w:r>
        <w:rPr>
          <w:rStyle w:val="CharDefText"/>
        </w:rPr>
        <w:t>implementation day</w:t>
      </w:r>
      <w:r>
        <w:rPr>
          <w:b/>
        </w:rPr>
        <w:t>”</w:t>
      </w:r>
      <w:r>
        <w:t>, in relation to a safety case, means the day notified to the Director under regulation 35(2) in respect of the safety case;</w:t>
      </w:r>
    </w:p>
    <w:p>
      <w:pPr>
        <w:pStyle w:val="Defstart"/>
      </w:pPr>
      <w:r>
        <w:tab/>
      </w:r>
      <w:r>
        <w:rPr>
          <w:b/>
        </w:rPr>
        <w:t>“</w:t>
      </w:r>
      <w:r>
        <w:rPr>
          <w:rStyle w:val="CharDefText"/>
        </w:rPr>
        <w:t>ISO</w:t>
      </w:r>
      <w:r>
        <w:rPr>
          <w:b/>
        </w:rPr>
        <w:t>”</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b/>
        </w:rPr>
        <w:t>“</w:t>
      </w:r>
      <w:r>
        <w:rPr>
          <w:rStyle w:val="CharDefText"/>
        </w:rPr>
        <w:t>lower heating value</w:t>
      </w:r>
      <w:r>
        <w:rPr>
          <w:b/>
        </w:rPr>
        <w:t>”</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pPr>
      <w:r>
        <w:tab/>
      </w:r>
      <w:r>
        <w:rPr>
          <w:b/>
          <w:bCs/>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network operator</w:t>
      </w:r>
      <w:r>
        <w:rPr>
          <w:b/>
        </w:rPr>
        <w:t>”</w:t>
      </w:r>
      <w:r>
        <w:t xml:space="preserve"> means an undertaker who operates a distribution system;</w:t>
      </w:r>
    </w:p>
    <w:p>
      <w:pPr>
        <w:pStyle w:val="Defstart"/>
        <w:keepNext/>
        <w:keepLines/>
      </w:pPr>
      <w:r>
        <w:tab/>
      </w:r>
      <w:r>
        <w:rPr>
          <w:b/>
        </w:rPr>
        <w:t>“</w:t>
      </w:r>
      <w:r>
        <w:rPr>
          <w:rStyle w:val="CharDefText"/>
        </w:rPr>
        <w:t>nominated auditor</w:t>
      </w:r>
      <w:r>
        <w:rPr>
          <w:b/>
        </w:rPr>
        <w:t>”</w:t>
      </w:r>
      <w:r>
        <w:t>, in relation to —</w:t>
      </w:r>
    </w:p>
    <w:p>
      <w:pPr>
        <w:pStyle w:val="Defpara"/>
        <w:keepNext/>
        <w:keepLines/>
      </w:pPr>
      <w:r>
        <w:tab/>
        <w:t>(a)</w:t>
      </w:r>
      <w:r>
        <w:tab/>
        <w:t>the safety case or accepted safety case of a network operator, means the person whose nomination by the network operator has been accepted under regulation 30; or</w:t>
      </w:r>
    </w:p>
    <w:p>
      <w:pPr>
        <w:pStyle w:val="Defpara"/>
      </w:pPr>
      <w:r>
        <w:tab/>
        <w:t>(b)</w:t>
      </w:r>
      <w:r>
        <w:tab/>
        <w:t>the safety case or accepted safety case of a plant operator, means the person whose nomination by the plant operator has been accepted under regulation 52;</w:t>
      </w:r>
    </w:p>
    <w:p>
      <w:pPr>
        <w:pStyle w:val="Defstart"/>
      </w:pPr>
      <w:r>
        <w:tab/>
      </w:r>
      <w:r>
        <w:rPr>
          <w:b/>
        </w:rPr>
        <w:t>“</w:t>
      </w:r>
      <w:r>
        <w:rPr>
          <w:rStyle w:val="CharDefText"/>
        </w:rPr>
        <w:t>plant operator</w:t>
      </w:r>
      <w:r>
        <w:rPr>
          <w:b/>
        </w:rPr>
        <w:t>”</w:t>
      </w:r>
      <w:r>
        <w:t xml:space="preserve"> means an undertaker who operates or is to operate a gas plant;</w:t>
      </w:r>
    </w:p>
    <w:p>
      <w:pPr>
        <w:pStyle w:val="Defstart"/>
      </w:pPr>
      <w:r>
        <w:tab/>
      </w:r>
      <w:r>
        <w:rPr>
          <w:b/>
        </w:rPr>
        <w:t>“</w:t>
      </w:r>
      <w:r>
        <w:rPr>
          <w:rStyle w:val="CharDefText"/>
        </w:rPr>
        <w:t>prescribed activity</w:t>
      </w:r>
      <w:r>
        <w:rPr>
          <w:b/>
        </w:rPr>
        <w:t>”</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b/>
        </w:rPr>
        <w:t>“</w:t>
      </w:r>
      <w:r>
        <w:rPr>
          <w:rStyle w:val="CharDefText"/>
        </w:rPr>
        <w:t>quarter</w:t>
      </w:r>
      <w:r>
        <w:rPr>
          <w:b/>
        </w:rPr>
        <w:t>”</w:t>
      </w:r>
      <w:r>
        <w:t xml:space="preserve"> means the period of 3 months beginning on 1 January, 1 April, 1 July or 1 October in any year;</w:t>
      </w:r>
    </w:p>
    <w:p>
      <w:pPr>
        <w:pStyle w:val="Defstart"/>
      </w:pPr>
      <w:r>
        <w:tab/>
      </w:r>
      <w:r>
        <w:rPr>
          <w:b/>
        </w:rPr>
        <w:t>“</w:t>
      </w:r>
      <w:r>
        <w:rPr>
          <w:rStyle w:val="CharDefText"/>
        </w:rPr>
        <w:t>safety case</w:t>
      </w:r>
      <w:r>
        <w:rPr>
          <w:b/>
        </w:rPr>
        <w:t>”</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r>
      <w:r>
        <w:tab/>
        <w:t>as the case requires;</w:t>
      </w:r>
    </w:p>
    <w:p>
      <w:pPr>
        <w:pStyle w:val="Defstart"/>
      </w:pPr>
      <w:r>
        <w:tab/>
      </w:r>
      <w:r>
        <w:rPr>
          <w:b/>
        </w:rPr>
        <w:t>“</w:t>
      </w:r>
      <w:r>
        <w:rPr>
          <w:rStyle w:val="CharDefText"/>
        </w:rPr>
        <w:t>utilised</w:t>
      </w:r>
      <w:r>
        <w:rPr>
          <w:b/>
        </w:rPr>
        <w:t>”</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Heading2"/>
      </w:pPr>
      <w:bookmarkStart w:id="16" w:name="_Toc187134299"/>
      <w:r>
        <w:rPr>
          <w:rStyle w:val="CharPartNo"/>
        </w:rPr>
        <w:t>Part 2</w:t>
      </w:r>
      <w:r>
        <w:t xml:space="preserve"> — </w:t>
      </w:r>
      <w:r>
        <w:rPr>
          <w:rStyle w:val="CharPartText"/>
        </w:rPr>
        <w:t>Standards for gas supplied</w:t>
      </w:r>
      <w:bookmarkEnd w:id="16"/>
    </w:p>
    <w:p>
      <w:pPr>
        <w:pStyle w:val="Heading3"/>
      </w:pPr>
      <w:bookmarkStart w:id="17" w:name="_Toc187134300"/>
      <w:r>
        <w:rPr>
          <w:rStyle w:val="CharDivNo"/>
        </w:rPr>
        <w:t>Division 1</w:t>
      </w:r>
      <w:r>
        <w:t xml:space="preserve"> — </w:t>
      </w:r>
      <w:r>
        <w:rPr>
          <w:rStyle w:val="CharDivText"/>
        </w:rPr>
        <w:t>General standard for gas pressure</w:t>
      </w:r>
      <w:bookmarkEnd w:id="17"/>
    </w:p>
    <w:p>
      <w:pPr>
        <w:pStyle w:val="Heading5"/>
      </w:pPr>
      <w:bookmarkStart w:id="18" w:name="_Toc482683035"/>
      <w:bookmarkStart w:id="19" w:name="_Toc187134301"/>
      <w:r>
        <w:rPr>
          <w:rStyle w:val="CharSectno"/>
        </w:rPr>
        <w:t>4</w:t>
      </w:r>
      <w:r>
        <w:t>.</w:t>
      </w:r>
      <w:r>
        <w:tab/>
        <w:t>Gas pressure</w:t>
      </w:r>
      <w:bookmarkEnd w:id="18"/>
      <w:bookmarkEnd w:id="19"/>
    </w:p>
    <w:p>
      <w:pPr>
        <w:pStyle w:val="Subsection"/>
      </w:pPr>
      <w:r>
        <w:tab/>
        <w:t>(1)</w:t>
      </w:r>
      <w:r>
        <w:tab/>
        <w:t>In this regulation —</w:t>
      </w:r>
    </w:p>
    <w:p>
      <w:pPr>
        <w:pStyle w:val="Defstart"/>
        <w:keepNext/>
      </w:pPr>
      <w:r>
        <w:tab/>
      </w:r>
      <w:r>
        <w:rPr>
          <w:b/>
        </w:rPr>
        <w:t>“</w:t>
      </w:r>
      <w:r>
        <w:rPr>
          <w:rStyle w:val="CharDefText"/>
        </w:rPr>
        <w:t>prescribed pressure</w:t>
      </w:r>
      <w:r>
        <w:rPr>
          <w:b/>
        </w:rPr>
        <w:t>”</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b/>
        </w:rPr>
        <w:t>“</w:t>
      </w:r>
      <w:r>
        <w:rPr>
          <w:rStyle w:val="CharDefText"/>
        </w:rPr>
        <w:t>simulated natural gas</w:t>
      </w:r>
      <w:r>
        <w:rPr>
          <w:b/>
        </w:rPr>
        <w:t>”</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b/>
        </w:rPr>
        <w:t>“</w:t>
      </w:r>
      <w:r>
        <w:rPr>
          <w:rStyle w:val="CharDefText"/>
        </w:rPr>
        <w:t>tempered LPG</w:t>
      </w:r>
      <w:r>
        <w:rPr>
          <w:b/>
        </w:rPr>
        <w:t>”</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20" w:name="_Toc187134302"/>
      <w:r>
        <w:rPr>
          <w:rStyle w:val="CharDivNo"/>
        </w:rPr>
        <w:t>Division 2</w:t>
      </w:r>
      <w:r>
        <w:t xml:space="preserve"> — </w:t>
      </w:r>
      <w:r>
        <w:rPr>
          <w:rStyle w:val="CharDivText"/>
        </w:rPr>
        <w:t>Standards for natural gas</w:t>
      </w:r>
      <w:bookmarkEnd w:id="20"/>
    </w:p>
    <w:p>
      <w:pPr>
        <w:pStyle w:val="Heading5"/>
      </w:pPr>
      <w:bookmarkStart w:id="21" w:name="_Toc482683036"/>
      <w:bookmarkStart w:id="22" w:name="_Toc187134303"/>
      <w:r>
        <w:rPr>
          <w:rStyle w:val="CharSectno"/>
        </w:rPr>
        <w:t>5</w:t>
      </w:r>
      <w:r>
        <w:t>.</w:t>
      </w:r>
      <w:r>
        <w:tab/>
        <w:t>Quality standards</w:t>
      </w:r>
      <w:bookmarkEnd w:id="21"/>
      <w:bookmarkEnd w:id="22"/>
    </w:p>
    <w:p>
      <w:pPr>
        <w:pStyle w:val="Subsection"/>
        <w:keepNext/>
        <w:keepLines/>
      </w:pPr>
      <w:r>
        <w:tab/>
        <w:t>(1)</w:t>
      </w:r>
      <w:r>
        <w:tab/>
        <w:t>In this regulation —</w:t>
      </w:r>
    </w:p>
    <w:p>
      <w:pPr>
        <w:pStyle w:val="Defstart"/>
        <w:keepNext/>
        <w:keepLines/>
      </w:pPr>
      <w:r>
        <w:tab/>
      </w:r>
      <w:r>
        <w:rPr>
          <w:b/>
        </w:rPr>
        <w:t>“</w:t>
      </w:r>
      <w:r>
        <w:rPr>
          <w:rStyle w:val="CharDefText"/>
        </w:rPr>
        <w:t>Wobbe index</w:t>
      </w:r>
      <w:r>
        <w:rPr>
          <w:b/>
        </w:rPr>
        <w:t>”</w:t>
      </w:r>
      <w:r>
        <w:t xml:space="preserve"> means the result obtained using the following formula —</w:t>
      </w:r>
    </w:p>
    <w:p>
      <w:pPr>
        <w:pStyle w:val="Equation"/>
        <w:jc w:val="center"/>
      </w:pPr>
      <w:r>
        <w:rPr>
          <w:position w:val="-32"/>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o:ole="">
            <v:imagedata r:id="rId19" o:title=""/>
          </v:shape>
          <o:OLEObject Type="Embed" ProgID="Equation.3" ShapeID="_x0000_i1025" DrawAspect="Content" ObjectID="_1644201896" r:id="rId20"/>
        </w:object>
      </w:r>
    </w:p>
    <w:p>
      <w:pPr>
        <w:pStyle w:val="Subsection"/>
      </w:pPr>
      <w:r>
        <w:tab/>
        <w:t>(2)</w:t>
      </w:r>
      <w:r>
        <w:tab/>
        <w:t>An undertaker must ensure that natural gas supplied to a consumer through a distribution system</w:t>
      </w:r>
      <w:r>
        <w:rPr>
          <w:b/>
          <w:i/>
          <w:sz w:val="20"/>
        </w:rPr>
        <w:t xml:space="preserve"> </w:t>
      </w:r>
      <w:r>
        <w:t>or used for domestic purposes in an industrial facility —</w:t>
      </w:r>
    </w:p>
    <w:p>
      <w:pPr>
        <w:pStyle w:val="Indenta"/>
      </w:pPr>
      <w:r>
        <w:tab/>
        <w:t>(a)</w:t>
      </w:r>
      <w:r>
        <w:tab/>
        <w:t>has a Wobbe index that is not less than 46.5 MJ/m</w:t>
      </w:r>
      <w:r>
        <w:rPr>
          <w:vertAlign w:val="superscript"/>
        </w:rPr>
        <w:t>3</w:t>
      </w:r>
      <w:r>
        <w:t xml:space="preserve"> and not more than 51.0 MJ/m</w:t>
      </w:r>
      <w:r>
        <w:rPr>
          <w:vertAlign w:val="superscript"/>
        </w:rPr>
        <w:t>3</w:t>
      </w:r>
      <w:r>
        <w:t>;</w:t>
      </w:r>
    </w:p>
    <w:p>
      <w:pPr>
        <w:pStyle w:val="Indenta"/>
      </w:pPr>
      <w:r>
        <w:tab/>
        <w:t>(b)</w:t>
      </w:r>
      <w:r>
        <w:tab/>
        <w:t>is free by normal commercial standards from dust and other solid or liquid matters, waxes, gums and gum forming constituents, aromatic hydrocarbons and radioactive components that might cause injury to or interfere with the proper operation of all equipment through which it flows;</w:t>
      </w:r>
    </w:p>
    <w:p>
      <w:pPr>
        <w:pStyle w:val="Indenta"/>
      </w:pPr>
      <w:r>
        <w:tab/>
        <w:t>(c)</w:t>
      </w:r>
      <w:r>
        <w:tab/>
        <w:t>does not have a total sulphur content exceeding 50 mg/m</w:t>
      </w:r>
      <w:r>
        <w:rPr>
          <w:vertAlign w:val="superscript"/>
        </w:rPr>
        <w:t>3</w:t>
      </w:r>
      <w:r>
        <w:t>;</w:t>
      </w:r>
    </w:p>
    <w:p>
      <w:pPr>
        <w:pStyle w:val="Indenta"/>
      </w:pPr>
      <w:r>
        <w:tab/>
        <w:t>(d)</w:t>
      </w:r>
      <w:r>
        <w:tab/>
        <w:t>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pPr>
      <w:r>
        <w:tab/>
        <w:t>(4)</w:t>
      </w:r>
      <w:r>
        <w:tab/>
        <w:t>The requirement in subregulation (2)(e) does not apply in relation to natural gas that is the subject of a permission under subregulation (3).</w:t>
      </w:r>
    </w:p>
    <w:p>
      <w:pPr>
        <w:pStyle w:val="Subsection"/>
      </w:pPr>
      <w:r>
        <w:tab/>
        <w:t>(5)</w:t>
      </w:r>
      <w:r>
        <w:tab/>
        <w:t>The undertaker must ensure that records are kept of sampling conducted under subregulation (2)(e) for a period of 3 years from the date of sampling.</w:t>
      </w:r>
    </w:p>
    <w:p>
      <w:pPr>
        <w:pStyle w:val="Heading5"/>
      </w:pPr>
      <w:bookmarkStart w:id="23" w:name="_Toc482683037"/>
      <w:bookmarkStart w:id="24" w:name="_Toc187134304"/>
      <w:r>
        <w:rPr>
          <w:rStyle w:val="CharSectno"/>
        </w:rPr>
        <w:t>6</w:t>
      </w:r>
      <w:r>
        <w:t>.</w:t>
      </w:r>
      <w:r>
        <w:tab/>
        <w:t>Odorising natural gas</w:t>
      </w:r>
      <w:bookmarkEnd w:id="23"/>
      <w:bookmarkEnd w:id="24"/>
    </w:p>
    <w:p>
      <w:pPr>
        <w:pStyle w:val="Subsection"/>
        <w:keepNext/>
        <w:keepLines/>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vertAlign w:val="subscript"/>
        </w:rPr>
        <w:t xml:space="preserve"> </w:t>
      </w:r>
      <w:r>
        <w:t>the lower explosive limit in air.</w:t>
      </w:r>
    </w:p>
    <w:p>
      <w:pPr>
        <w:pStyle w:val="Heading3"/>
      </w:pPr>
      <w:bookmarkStart w:id="25" w:name="_Toc187134305"/>
      <w:r>
        <w:rPr>
          <w:rStyle w:val="CharDivNo"/>
        </w:rPr>
        <w:t>Division 3</w:t>
      </w:r>
      <w:r>
        <w:t xml:space="preserve"> — </w:t>
      </w:r>
      <w:r>
        <w:rPr>
          <w:rStyle w:val="CharDivText"/>
        </w:rPr>
        <w:t>Standards for LPG</w:t>
      </w:r>
      <w:bookmarkEnd w:id="25"/>
    </w:p>
    <w:p>
      <w:pPr>
        <w:pStyle w:val="Heading5"/>
      </w:pPr>
      <w:bookmarkStart w:id="26" w:name="_Toc482683038"/>
      <w:bookmarkStart w:id="27" w:name="_Toc187134306"/>
      <w:r>
        <w:rPr>
          <w:rStyle w:val="CharSectno"/>
        </w:rPr>
        <w:t>7</w:t>
      </w:r>
      <w:r>
        <w:t>.</w:t>
      </w:r>
      <w:r>
        <w:tab/>
        <w:t>Quality standards</w:t>
      </w:r>
      <w:bookmarkEnd w:id="26"/>
      <w:bookmarkEnd w:id="27"/>
    </w:p>
    <w:p>
      <w:pPr>
        <w:pStyle w:val="Subsection"/>
      </w:pPr>
      <w:r>
        <w:tab/>
        <w:t>(1)</w:t>
      </w:r>
      <w:r>
        <w:tab/>
        <w:t>An undertaker must ensure that LPG supplied to a consumer in liquid form —</w:t>
      </w:r>
    </w:p>
    <w:p>
      <w:pPr>
        <w:pStyle w:val="Indenta"/>
      </w:pPr>
      <w:r>
        <w:tab/>
        <w:t>(a)</w:t>
      </w:r>
      <w:r>
        <w:tab/>
        <w:t>is free of mechanically entrained water;</w:t>
      </w:r>
    </w:p>
    <w:p>
      <w:pPr>
        <w:pStyle w:val="Indenta"/>
      </w:pPr>
      <w:r>
        <w:tab/>
        <w:t>(b)</w:t>
      </w:r>
      <w:r>
        <w:tab/>
        <w:t>does not contain any hydrogen sulphide or methane or any substance that, if the gas is used for lighting or heating purposes, is toxic or harmful to human health or safety;</w:t>
      </w:r>
    </w:p>
    <w:p>
      <w:pPr>
        <w:pStyle w:val="Indenta"/>
      </w:pPr>
      <w:r>
        <w:tab/>
        <w:t>(c)</w:t>
      </w:r>
      <w:r>
        <w:tab/>
        <w:t>does not have a total sulphur content exceeding 0.02% by weight;</w:t>
      </w:r>
    </w:p>
    <w:p>
      <w:pPr>
        <w:pStyle w:val="Indenta"/>
        <w:rPr>
          <w:vertAlign w:val="superscript"/>
        </w:rPr>
      </w:pPr>
      <w:r>
        <w:tab/>
        <w:t>(d)</w:t>
      </w:r>
      <w:r>
        <w:tab/>
        <w:t>does not contain more than 45 mg/m</w:t>
      </w:r>
      <w:r>
        <w:rPr>
          <w:vertAlign w:val="superscript"/>
        </w:rPr>
        <w:t>3</w:t>
      </w:r>
      <w:r>
        <w:t xml:space="preserve"> of mercaptan sulphur;</w:t>
      </w:r>
    </w:p>
    <w:p>
      <w:pPr>
        <w:pStyle w:val="Indenta"/>
      </w:pPr>
      <w:r>
        <w:tab/>
        <w:t>(e)</w:t>
      </w:r>
      <w:r>
        <w:tab/>
        <w:t>does not contain more than —</w:t>
      </w:r>
    </w:p>
    <w:p>
      <w:pPr>
        <w:pStyle w:val="Indenti"/>
      </w:pPr>
      <w:r>
        <w:tab/>
        <w:t>(i)</w:t>
      </w:r>
      <w:r>
        <w:tab/>
        <w:t>2 mol % of C2 hydrocarbons; or</w:t>
      </w:r>
    </w:p>
    <w:p>
      <w:pPr>
        <w:pStyle w:val="Indenti"/>
      </w:pPr>
      <w:r>
        <w:tab/>
        <w:t>(ii)</w:t>
      </w:r>
      <w:r>
        <w:tab/>
        <w:t>2 mol % of C5 or higher hydrocarbons expressed as C5 hydrocarbons;</w:t>
      </w:r>
    </w:p>
    <w:p>
      <w:pPr>
        <w:pStyle w:val="Indenta"/>
      </w:pPr>
      <w:r>
        <w:tab/>
        <w:t>(f)</w:t>
      </w:r>
      <w:r>
        <w:tab/>
        <w:t>does not contain impurities other than those permitted under paragraphs (c), (d) and (e);</w:t>
      </w:r>
    </w:p>
    <w:p>
      <w:pPr>
        <w:pStyle w:val="Indenta"/>
      </w:pPr>
      <w:r>
        <w:tab/>
        <w:t>(g)</w:t>
      </w:r>
      <w:r>
        <w:tab/>
        <w:t>has a lower heating value produced by combustion of the gas of not less than 44.0 and not more than 47.7 MJ per kilogram of the gas;</w:t>
      </w:r>
    </w:p>
    <w:p>
      <w:pPr>
        <w:pStyle w:val="Indenta"/>
      </w:pPr>
      <w:r>
        <w:tab/>
        <w:t>(h)</w:t>
      </w:r>
      <w:r>
        <w:tab/>
        <w:t>meets the requirement for evaporation in regulation 8; and</w:t>
      </w:r>
    </w:p>
    <w:p>
      <w:pPr>
        <w:pStyle w:val="Indenta"/>
      </w:pPr>
      <w:r>
        <w:tab/>
        <w:t>(i)</w:t>
      </w:r>
      <w:r>
        <w:tab/>
        <w:t>is odorised in accordance with regulation 9 and is subject to periodic sampling to determine the effectiveness of the odorising.</w:t>
      </w:r>
    </w:p>
    <w:p>
      <w:pPr>
        <w:pStyle w:val="Subsection"/>
      </w:pPr>
      <w:r>
        <w:tab/>
        <w:t>(2)</w:t>
      </w:r>
      <w:r>
        <w:tab/>
        <w:t>Despite subregulation (1)(i) the Director may, in a particular case or class of case, permit an undertaker to supply LPG that is not odorised if the gas is to be used as a propellant in aerosol type containers.</w:t>
      </w:r>
    </w:p>
    <w:p>
      <w:pPr>
        <w:pStyle w:val="Subsection"/>
      </w:pPr>
      <w:r>
        <w:tab/>
        <w:t>(3)</w:t>
      </w:r>
      <w:r>
        <w:tab/>
        <w:t xml:space="preserve">The requirement in subregulation </w:t>
      </w:r>
      <w:bookmarkStart w:id="28" w:name="_Hlt448134416"/>
      <w:r>
        <w:t>(1)(i)</w:t>
      </w:r>
      <w:bookmarkEnd w:id="28"/>
      <w:r>
        <w:t xml:space="preserve"> does not apply in relation to LPG that is the subject of a permission under subregulation (2).</w:t>
      </w:r>
    </w:p>
    <w:p>
      <w:pPr>
        <w:pStyle w:val="Subsection"/>
      </w:pPr>
      <w:r>
        <w:tab/>
        <w:t>(4)</w:t>
      </w:r>
      <w:r>
        <w:tab/>
        <w:t>The undertaker must ensure that records are kept of sampling conducted under subregulation (1)(i) for a period of 3 years from the date of sampling.</w:t>
      </w:r>
    </w:p>
    <w:p>
      <w:pPr>
        <w:pStyle w:val="Heading5"/>
      </w:pPr>
      <w:bookmarkStart w:id="29" w:name="_Toc482683039"/>
      <w:bookmarkStart w:id="30" w:name="_Toc187134307"/>
      <w:r>
        <w:rPr>
          <w:rStyle w:val="CharSectno"/>
        </w:rPr>
        <w:t>8</w:t>
      </w:r>
      <w:r>
        <w:t>.</w:t>
      </w:r>
      <w:r>
        <w:tab/>
        <w:t>Evaporation</w:t>
      </w:r>
      <w:bookmarkEnd w:id="29"/>
      <w:bookmarkEnd w:id="30"/>
    </w:p>
    <w:p>
      <w:pPr>
        <w:pStyle w:val="Subsection"/>
      </w:pPr>
      <w:r>
        <w:tab/>
      </w:r>
      <w:r>
        <w:tab/>
        <w:t>If the LPG is evaporated at a temperature of 1.11°C corrected to a barometric pressure of 98.67 kPa (absolute), the quantity of gas so evaporated must be not less than 95% by volume.</w:t>
      </w:r>
    </w:p>
    <w:p>
      <w:pPr>
        <w:pStyle w:val="Heading5"/>
      </w:pPr>
      <w:bookmarkStart w:id="31" w:name="_Toc482683040"/>
      <w:bookmarkStart w:id="32" w:name="_Toc187134308"/>
      <w:r>
        <w:rPr>
          <w:rStyle w:val="CharSectno"/>
        </w:rPr>
        <w:t>9</w:t>
      </w:r>
      <w:r>
        <w:t>.</w:t>
      </w:r>
      <w:r>
        <w:tab/>
        <w:t>Odorising LPG</w:t>
      </w:r>
      <w:bookmarkEnd w:id="31"/>
      <w:bookmarkEnd w:id="32"/>
    </w:p>
    <w:p>
      <w:pPr>
        <w:pStyle w:val="Subsection"/>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vertAlign w:val="subscript"/>
        </w:rPr>
        <w:t xml:space="preserve"> </w:t>
      </w:r>
      <w:r>
        <w:t>the lower explosive limit in air.</w:t>
      </w:r>
    </w:p>
    <w:p>
      <w:pPr>
        <w:pStyle w:val="Heading5"/>
      </w:pPr>
      <w:bookmarkStart w:id="33" w:name="_Toc482683041"/>
      <w:bookmarkStart w:id="34" w:name="_Toc187134309"/>
      <w:r>
        <w:rPr>
          <w:rStyle w:val="CharSectno"/>
        </w:rPr>
        <w:t>10</w:t>
      </w:r>
      <w:r>
        <w:t>.</w:t>
      </w:r>
      <w:r>
        <w:tab/>
        <w:t>Propane</w:t>
      </w:r>
      <w:bookmarkEnd w:id="33"/>
      <w:bookmarkEnd w:id="34"/>
    </w:p>
    <w:p>
      <w:pPr>
        <w:pStyle w:val="Subsection"/>
        <w:keepNext/>
      </w:pPr>
      <w:r>
        <w:tab/>
      </w:r>
      <w:r>
        <w:tab/>
        <w:t>An undertaker must ensure that where LPG is supplied to a consumer as propane —</w:t>
      </w:r>
    </w:p>
    <w:p>
      <w:pPr>
        <w:pStyle w:val="Indenta"/>
      </w:pPr>
      <w:r>
        <w:tab/>
        <w:t>(a)</w:t>
      </w:r>
      <w:r>
        <w:tab/>
        <w:t>it contains not less than 90% by volume of —</w:t>
      </w:r>
    </w:p>
    <w:p>
      <w:pPr>
        <w:pStyle w:val="Indenti"/>
      </w:pPr>
      <w:r>
        <w:tab/>
        <w:t>(i)</w:t>
      </w:r>
      <w:r>
        <w:tab/>
        <w:t>propane or propene; or</w:t>
      </w:r>
    </w:p>
    <w:p>
      <w:pPr>
        <w:pStyle w:val="Indenti"/>
      </w:pPr>
      <w:r>
        <w:tab/>
        <w:t>(ii)</w:t>
      </w:r>
      <w:r>
        <w:tab/>
        <w:t>propane and propene;</w:t>
      </w:r>
    </w:p>
    <w:p>
      <w:pPr>
        <w:pStyle w:val="Indenta"/>
      </w:pPr>
      <w:r>
        <w:tab/>
      </w:r>
      <w:r>
        <w:tab/>
        <w:t>and</w:t>
      </w:r>
    </w:p>
    <w:p>
      <w:pPr>
        <w:pStyle w:val="Indenta"/>
      </w:pPr>
      <w:r>
        <w:tab/>
        <w:t>(b)</w:t>
      </w:r>
      <w:r>
        <w:tab/>
        <w:t>its</w:t>
      </w:r>
      <w:r>
        <w:rPr>
          <w:sz w:val="22"/>
        </w:rPr>
        <w:t xml:space="preserve"> </w:t>
      </w:r>
      <w:r>
        <w:t>vapour pressure does not exceed 1 530 kPa (gauge) at 40°C.</w:t>
      </w:r>
    </w:p>
    <w:p>
      <w:pPr>
        <w:pStyle w:val="Heading5"/>
      </w:pPr>
      <w:bookmarkStart w:id="35" w:name="_Toc482683042"/>
      <w:bookmarkStart w:id="36" w:name="_Toc187134310"/>
      <w:r>
        <w:rPr>
          <w:rStyle w:val="CharSectno"/>
        </w:rPr>
        <w:t>11</w:t>
      </w:r>
      <w:r>
        <w:t>.</w:t>
      </w:r>
      <w:r>
        <w:tab/>
        <w:t>Butane</w:t>
      </w:r>
      <w:bookmarkEnd w:id="35"/>
      <w:bookmarkEnd w:id="36"/>
    </w:p>
    <w:p>
      <w:pPr>
        <w:pStyle w:val="Subsection"/>
      </w:pPr>
      <w:r>
        <w:tab/>
      </w:r>
      <w:r>
        <w:tab/>
        <w:t>An undertaker must ensure that where LPG is supplied to a consumer as butane —</w:t>
      </w:r>
    </w:p>
    <w:p>
      <w:pPr>
        <w:pStyle w:val="Indenta"/>
      </w:pPr>
      <w:r>
        <w:tab/>
        <w:t>(a)</w:t>
      </w:r>
      <w:r>
        <w:tab/>
        <w:t>it consists predominantly of —</w:t>
      </w:r>
    </w:p>
    <w:p>
      <w:pPr>
        <w:pStyle w:val="Indenti"/>
      </w:pPr>
      <w:r>
        <w:tab/>
        <w:t>(i)</w:t>
      </w:r>
      <w:r>
        <w:tab/>
        <w:t>butanes or butenes; or</w:t>
      </w:r>
    </w:p>
    <w:p>
      <w:pPr>
        <w:pStyle w:val="Indenti"/>
      </w:pPr>
      <w:r>
        <w:tab/>
        <w:t>(ii)</w:t>
      </w:r>
      <w:r>
        <w:tab/>
        <w:t>butanes and butenes;</w:t>
      </w:r>
    </w:p>
    <w:p>
      <w:pPr>
        <w:pStyle w:val="Indenta"/>
      </w:pPr>
      <w:r>
        <w:tab/>
        <w:t>(b)</w:t>
      </w:r>
      <w:r>
        <w:tab/>
        <w:t>its</w:t>
      </w:r>
      <w:r>
        <w:rPr>
          <w:sz w:val="22"/>
        </w:rPr>
        <w:t xml:space="preserve"> </w:t>
      </w:r>
      <w:r>
        <w:t>vapour pressure does not exceed 520 kPa (gauge) at 40°C; and</w:t>
      </w:r>
    </w:p>
    <w:p>
      <w:pPr>
        <w:pStyle w:val="Indenta"/>
      </w:pPr>
      <w:r>
        <w:tab/>
        <w:t>(c)</w:t>
      </w:r>
      <w:r>
        <w:tab/>
        <w:t>the container in which it is supplied is marked with the designation “Butane”.</w:t>
      </w:r>
    </w:p>
    <w:p>
      <w:pPr>
        <w:pStyle w:val="Heading5"/>
      </w:pPr>
      <w:bookmarkStart w:id="37" w:name="_Toc482683043"/>
      <w:bookmarkStart w:id="38" w:name="_Toc187134311"/>
      <w:r>
        <w:rPr>
          <w:rStyle w:val="CharSectno"/>
        </w:rPr>
        <w:t>12</w:t>
      </w:r>
      <w:r>
        <w:t>.</w:t>
      </w:r>
      <w:r>
        <w:tab/>
        <w:t>Mixed LPG</w:t>
      </w:r>
      <w:bookmarkEnd w:id="37"/>
      <w:bookmarkEnd w:id="38"/>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39" w:name="_Toc482683044"/>
      <w:bookmarkStart w:id="40" w:name="_Toc187134312"/>
      <w:r>
        <w:rPr>
          <w:rStyle w:val="CharSectno"/>
        </w:rPr>
        <w:t>13</w:t>
      </w:r>
      <w:r>
        <w:t>.</w:t>
      </w:r>
      <w:r>
        <w:tab/>
        <w:t>LPG supplied through a distribution system</w:t>
      </w:r>
      <w:bookmarkEnd w:id="39"/>
      <w:bookmarkEnd w:id="40"/>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41" w:name="_Toc187134313"/>
      <w:r>
        <w:rPr>
          <w:rStyle w:val="CharPartNo"/>
        </w:rPr>
        <w:t>Part 3</w:t>
      </w:r>
      <w:r>
        <w:rPr>
          <w:rStyle w:val="CharDivNo"/>
        </w:rPr>
        <w:t xml:space="preserve"> </w:t>
      </w:r>
      <w:r>
        <w:t>—</w:t>
      </w:r>
      <w:r>
        <w:rPr>
          <w:rStyle w:val="CharDivText"/>
        </w:rPr>
        <w:t xml:space="preserve"> </w:t>
      </w:r>
      <w:r>
        <w:rPr>
          <w:rStyle w:val="CharPartText"/>
        </w:rPr>
        <w:t>Metering</w:t>
      </w:r>
      <w:bookmarkEnd w:id="41"/>
    </w:p>
    <w:p>
      <w:pPr>
        <w:pStyle w:val="Heading5"/>
      </w:pPr>
      <w:bookmarkStart w:id="42" w:name="_Toc482683045"/>
      <w:bookmarkStart w:id="43" w:name="_Toc187134314"/>
      <w:r>
        <w:rPr>
          <w:rStyle w:val="CharSectno"/>
        </w:rPr>
        <w:t>14</w:t>
      </w:r>
      <w:r>
        <w:t>.</w:t>
      </w:r>
      <w:r>
        <w:tab/>
        <w:t>Definition</w:t>
      </w:r>
      <w:bookmarkEnd w:id="42"/>
      <w:bookmarkEnd w:id="43"/>
    </w:p>
    <w:p>
      <w:pPr>
        <w:pStyle w:val="Subsection"/>
      </w:pPr>
      <w:r>
        <w:tab/>
      </w:r>
      <w:r>
        <w:tab/>
        <w:t>In this Part —</w:t>
      </w:r>
    </w:p>
    <w:p>
      <w:pPr>
        <w:pStyle w:val="Defstart"/>
      </w:pPr>
      <w:r>
        <w:tab/>
      </w:r>
      <w:r>
        <w:rPr>
          <w:b/>
        </w:rPr>
        <w:t>“</w:t>
      </w:r>
      <w:r>
        <w:rPr>
          <w:rStyle w:val="CharDefText"/>
        </w:rPr>
        <w:t>commencement</w:t>
      </w:r>
      <w:r>
        <w:rPr>
          <w:b/>
        </w:rPr>
        <w:t>”</w:t>
      </w:r>
      <w:r>
        <w:t xml:space="preserve"> means the day on which these regulations come into operation.</w:t>
      </w:r>
    </w:p>
    <w:p>
      <w:pPr>
        <w:pStyle w:val="Heading5"/>
      </w:pPr>
      <w:bookmarkStart w:id="44" w:name="_Toc482683046"/>
      <w:bookmarkStart w:id="45" w:name="_Toc187134315"/>
      <w:r>
        <w:rPr>
          <w:rStyle w:val="CharSectno"/>
        </w:rPr>
        <w:t>15</w:t>
      </w:r>
      <w:r>
        <w:t>.</w:t>
      </w:r>
      <w:r>
        <w:tab/>
        <w:t>Operating requirements for master meters</w:t>
      </w:r>
      <w:bookmarkEnd w:id="44"/>
      <w:bookmarkEnd w:id="45"/>
    </w:p>
    <w:p>
      <w:pPr>
        <w:pStyle w:val="Subsection"/>
      </w:pPr>
      <w:r>
        <w:tab/>
        <w:t>(1)</w:t>
      </w:r>
      <w:r>
        <w:tab/>
        <w:t>A network operator must ensure that every master meter installed after commencement with a badged capacity of not more than 6 cubic metres per hour complies with the requirements of AG 702.</w:t>
      </w:r>
    </w:p>
    <w:p>
      <w:pPr>
        <w:pStyle w:val="Subsection"/>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Heading5"/>
      </w:pPr>
      <w:bookmarkStart w:id="46" w:name="_Toc482683047"/>
      <w:bookmarkStart w:id="47" w:name="_Toc187134316"/>
      <w:r>
        <w:rPr>
          <w:rStyle w:val="CharSectno"/>
        </w:rPr>
        <w:t>16</w:t>
      </w:r>
      <w:r>
        <w:t>.</w:t>
      </w:r>
      <w:r>
        <w:tab/>
        <w:t>Replacement of master meters</w:t>
      </w:r>
      <w:bookmarkEnd w:id="46"/>
      <w:bookmarkEnd w:id="47"/>
    </w:p>
    <w:p>
      <w:pPr>
        <w:pStyle w:val="Subsection"/>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48" w:name="_Toc482683048"/>
      <w:bookmarkStart w:id="49" w:name="_Toc187134317"/>
      <w:r>
        <w:rPr>
          <w:rStyle w:val="CharSectno"/>
        </w:rPr>
        <w:t>17</w:t>
      </w:r>
      <w:r>
        <w:t>.</w:t>
      </w:r>
      <w:r>
        <w:tab/>
        <w:t>Alternative requirements</w:t>
      </w:r>
      <w:bookmarkEnd w:id="48"/>
      <w:bookmarkEnd w:id="49"/>
    </w:p>
    <w:p>
      <w:pPr>
        <w:pStyle w:val="Subsection"/>
      </w:pPr>
      <w:r>
        <w:tab/>
      </w:r>
      <w:bookmarkStart w:id="50" w:name="_Hlt461851351"/>
      <w:bookmarkEnd w:id="50"/>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51" w:name="_Toc187134318"/>
      <w:r>
        <w:rPr>
          <w:rStyle w:val="CharPartNo"/>
        </w:rPr>
        <w:t>Part 3A</w:t>
      </w:r>
      <w:r>
        <w:rPr>
          <w:b w:val="0"/>
        </w:rPr>
        <w:t> </w:t>
      </w:r>
      <w:r>
        <w:t>—</w:t>
      </w:r>
      <w:r>
        <w:rPr>
          <w:b w:val="0"/>
        </w:rPr>
        <w:t> </w:t>
      </w:r>
      <w:r>
        <w:rPr>
          <w:rStyle w:val="CharPartText"/>
        </w:rPr>
        <w:t>Entry and commingling of gas of different qualities</w:t>
      </w:r>
      <w:bookmarkEnd w:id="51"/>
    </w:p>
    <w:p>
      <w:pPr>
        <w:pStyle w:val="Footnoteheading"/>
      </w:pPr>
      <w:r>
        <w:tab/>
        <w:t>[Heading inserted in Gazette 4 Jan 2008 p. 3.]</w:t>
      </w:r>
    </w:p>
    <w:p>
      <w:pPr>
        <w:pStyle w:val="Heading3"/>
      </w:pPr>
      <w:bookmarkStart w:id="52" w:name="_Toc187134319"/>
      <w:r>
        <w:rPr>
          <w:rStyle w:val="CharDivNo"/>
        </w:rPr>
        <w:t>Division 1</w:t>
      </w:r>
      <w:r>
        <w:t> — </w:t>
      </w:r>
      <w:r>
        <w:rPr>
          <w:rStyle w:val="CharDivText"/>
        </w:rPr>
        <w:t>Preliminary</w:t>
      </w:r>
      <w:bookmarkEnd w:id="52"/>
    </w:p>
    <w:p>
      <w:pPr>
        <w:pStyle w:val="Footnoteheading"/>
      </w:pPr>
      <w:r>
        <w:tab/>
        <w:t>[Heading inserted in Gazette 4 Jan 2008 p. 3.]</w:t>
      </w:r>
    </w:p>
    <w:p>
      <w:pPr>
        <w:pStyle w:val="Heading5"/>
      </w:pPr>
      <w:bookmarkStart w:id="53" w:name="_Toc187134320"/>
      <w:r>
        <w:rPr>
          <w:rStyle w:val="CharSectno"/>
        </w:rPr>
        <w:t>17A</w:t>
      </w:r>
      <w:r>
        <w:t>.</w:t>
      </w:r>
      <w:r>
        <w:tab/>
        <w:t>Terms used in this Part</w:t>
      </w:r>
      <w:bookmarkEnd w:id="53"/>
    </w:p>
    <w:p>
      <w:pPr>
        <w:pStyle w:val="Subsection"/>
      </w:pPr>
      <w:r>
        <w:tab/>
      </w:r>
      <w:r>
        <w:tab/>
        <w:t xml:space="preserve">In this Part, unless the contrary intention appears — </w:t>
      </w:r>
    </w:p>
    <w:p>
      <w:pPr>
        <w:pStyle w:val="Defstart"/>
      </w:pPr>
      <w:r>
        <w:tab/>
      </w:r>
      <w:r>
        <w:rPr>
          <w:b/>
          <w:bCs/>
        </w:rPr>
        <w:t>“</w:t>
      </w:r>
      <w:r>
        <w:rPr>
          <w:rStyle w:val="CharDefText"/>
        </w:rPr>
        <w:t>approved plan</w:t>
      </w:r>
      <w:r>
        <w:rPr>
          <w:b/>
          <w:bCs/>
        </w:rPr>
        <w:t>”</w:t>
      </w:r>
      <w:r>
        <w:t xml:space="preserve"> means a management plan approved under regulation 17E and includes the plan as amended or replaced under regulation 17F or 17G;</w:t>
      </w:r>
    </w:p>
    <w:p>
      <w:pPr>
        <w:pStyle w:val="Defstart"/>
      </w:pPr>
      <w:r>
        <w:rPr>
          <w:b/>
        </w:rPr>
        <w:tab/>
        <w:t>“</w:t>
      </w:r>
      <w:r>
        <w:rPr>
          <w:rStyle w:val="CharDefText"/>
        </w:rPr>
        <w:t>corporation</w:t>
      </w:r>
      <w:r>
        <w:rPr>
          <w:b/>
        </w:rPr>
        <w:t>”</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t>“</w:t>
      </w:r>
      <w:r>
        <w:rPr>
          <w:rStyle w:val="CharDefText"/>
        </w:rPr>
        <w:t>determined heating value</w:t>
      </w:r>
      <w:r>
        <w:rPr>
          <w:b/>
        </w:rPr>
        <w:t>”</w:t>
      </w:r>
      <w:r>
        <w:t xml:space="preserve"> means the heating value for a HHV zone determined under regulation 17J(2) or (3);</w:t>
      </w:r>
    </w:p>
    <w:p>
      <w:pPr>
        <w:pStyle w:val="Defstart"/>
      </w:pPr>
      <w:r>
        <w:rPr>
          <w:b/>
        </w:rPr>
        <w:tab/>
        <w:t>“</w:t>
      </w:r>
      <w:r>
        <w:rPr>
          <w:rStyle w:val="CharDefText"/>
        </w:rPr>
        <w:t>emergency</w:t>
      </w:r>
      <w:r>
        <w:rPr>
          <w:b/>
        </w:rPr>
        <w:t>”</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t>“</w:t>
      </w:r>
      <w:r>
        <w:rPr>
          <w:rStyle w:val="CharDefText"/>
        </w:rPr>
        <w:t>flow weighted average higher heating value</w:t>
      </w:r>
      <w:r>
        <w:rPr>
          <w:b/>
        </w:rPr>
        <w:t>”</w:t>
      </w:r>
      <w:r>
        <w:t xml:space="preserve"> or </w:t>
      </w:r>
      <w:r>
        <w:rPr>
          <w:b/>
        </w:rPr>
        <w:t>“</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t>“</w:t>
      </w:r>
      <w:r>
        <w:rPr>
          <w:rStyle w:val="CharDefText"/>
        </w:rPr>
        <w:t>gas day</w:t>
      </w:r>
      <w:r>
        <w:rPr>
          <w:b/>
        </w:rPr>
        <w:t>”</w:t>
      </w:r>
      <w:r>
        <w:t xml:space="preserve"> means the 24 hour period beginning at 0800 hours on a day and ending at 0800 hours on the following day;</w:t>
      </w:r>
    </w:p>
    <w:p>
      <w:pPr>
        <w:pStyle w:val="Defstart"/>
      </w:pPr>
      <w:r>
        <w:rPr>
          <w:b/>
        </w:rPr>
        <w:tab/>
        <w:t>“</w:t>
      </w:r>
      <w:r>
        <w:rPr>
          <w:rStyle w:val="CharDefText"/>
        </w:rPr>
        <w:t>HHV zone</w:t>
      </w:r>
      <w:r>
        <w:rPr>
          <w:b/>
        </w:rPr>
        <w:t>”</w:t>
      </w:r>
      <w:r>
        <w:t xml:space="preserve"> means a HHV zone in a distribution system or sub</w:t>
      </w:r>
      <w:r>
        <w:noBreakHyphen/>
        <w:t>network established under regulation 17I(2), (3) or (5);</w:t>
      </w:r>
    </w:p>
    <w:p>
      <w:pPr>
        <w:pStyle w:val="Defstart"/>
      </w:pPr>
      <w:r>
        <w:rPr>
          <w:b/>
        </w:rPr>
        <w:tab/>
        <w:t>“</w:t>
      </w:r>
      <w:r>
        <w:rPr>
          <w:rStyle w:val="CharDefText"/>
        </w:rPr>
        <w:t>implementation period</w:t>
      </w:r>
      <w:r>
        <w:rPr>
          <w:b/>
        </w:rPr>
        <w:t>”</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t>“</w:t>
      </w:r>
      <w:r>
        <w:rPr>
          <w:rStyle w:val="CharDefText"/>
        </w:rPr>
        <w:t>leanest supplied higher heating value</w:t>
      </w:r>
      <w:r>
        <w:rPr>
          <w:b/>
        </w:rPr>
        <w:t>”</w:t>
      </w:r>
      <w:r>
        <w:t xml:space="preserve"> or </w:t>
      </w:r>
      <w:r>
        <w:rPr>
          <w:b/>
        </w:rPr>
        <w:t>“</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t>“</w:t>
      </w:r>
      <w:r>
        <w:rPr>
          <w:rStyle w:val="CharDefText"/>
        </w:rPr>
        <w:t>management plan</w:t>
      </w:r>
      <w:r>
        <w:rPr>
          <w:b/>
        </w:rPr>
        <w:t>”</w:t>
      </w:r>
      <w:r>
        <w:t xml:space="preserve"> means a plan that meets the requirements of regulation 17C(1) or (2);</w:t>
      </w:r>
    </w:p>
    <w:p>
      <w:pPr>
        <w:pStyle w:val="Defstart"/>
      </w:pPr>
      <w:r>
        <w:rPr>
          <w:b/>
        </w:rPr>
        <w:tab/>
        <w:t>“</w:t>
      </w:r>
      <w:r>
        <w:rPr>
          <w:rStyle w:val="CharDefText"/>
        </w:rPr>
        <w:t>officer</w:t>
      </w:r>
      <w:r>
        <w:rPr>
          <w:b/>
        </w:rPr>
        <w:t>”</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t>“</w:t>
      </w:r>
      <w:r>
        <w:rPr>
          <w:rStyle w:val="CharDefText"/>
        </w:rPr>
        <w:t>permitted range</w:t>
      </w:r>
      <w:r>
        <w:rPr>
          <w:b/>
        </w:rPr>
        <w:t>”</w:t>
      </w:r>
      <w:r>
        <w:t xml:space="preserve"> means the range determined under regulation 17I(3)(b);</w:t>
      </w:r>
    </w:p>
    <w:p>
      <w:pPr>
        <w:pStyle w:val="Defstart"/>
      </w:pPr>
      <w:r>
        <w:rPr>
          <w:b/>
        </w:rPr>
        <w:tab/>
        <w:t>“</w:t>
      </w:r>
      <w:r>
        <w:rPr>
          <w:rStyle w:val="CharDefText"/>
        </w:rPr>
        <w:t>retail market scheme</w:t>
      </w:r>
      <w:r>
        <w:rPr>
          <w:b/>
        </w:rPr>
        <w:t>”</w:t>
      </w:r>
      <w:r>
        <w:t xml:space="preserve"> means a retail market scheme approved under the </w:t>
      </w:r>
      <w:r>
        <w:rPr>
          <w:i/>
        </w:rPr>
        <w:t>Energy Coordination Act 1994</w:t>
      </w:r>
      <w:r>
        <w:t xml:space="preserve"> Part 2B Division 3;</w:t>
      </w:r>
    </w:p>
    <w:p>
      <w:pPr>
        <w:pStyle w:val="Defstart"/>
      </w:pPr>
      <w:r>
        <w:rPr>
          <w:b/>
        </w:rPr>
        <w:tab/>
        <w:t>“</w:t>
      </w:r>
      <w:r>
        <w:rPr>
          <w:rStyle w:val="CharDefText"/>
        </w:rPr>
        <w:t>sub</w:t>
      </w:r>
      <w:r>
        <w:rPr>
          <w:rStyle w:val="CharDefText"/>
        </w:rPr>
        <w:noBreakHyphen/>
        <w:t>network</w:t>
      </w:r>
      <w:r>
        <w:rPr>
          <w:b/>
        </w:rPr>
        <w:t>”</w:t>
      </w:r>
      <w:r>
        <w:t xml:space="preserve"> means each part of a distribution system listed in Schedule 4.</w:t>
      </w:r>
    </w:p>
    <w:p>
      <w:pPr>
        <w:pStyle w:val="Footnotesection"/>
      </w:pPr>
      <w:r>
        <w:tab/>
        <w:t>[Regulation 17A inserted in Gazette 4 Jan 2008 p. 3-5.]</w:t>
      </w:r>
    </w:p>
    <w:p>
      <w:pPr>
        <w:pStyle w:val="Heading3"/>
      </w:pPr>
      <w:bookmarkStart w:id="54" w:name="_Toc187134321"/>
      <w:r>
        <w:rPr>
          <w:rStyle w:val="CharDivNo"/>
        </w:rPr>
        <w:t>Division 2</w:t>
      </w:r>
      <w:r>
        <w:t> — </w:t>
      </w:r>
      <w:r>
        <w:rPr>
          <w:rStyle w:val="CharDivText"/>
        </w:rPr>
        <w:t>Approved plan</w:t>
      </w:r>
      <w:bookmarkEnd w:id="54"/>
    </w:p>
    <w:p>
      <w:pPr>
        <w:pStyle w:val="Footnoteheading"/>
      </w:pPr>
      <w:r>
        <w:tab/>
        <w:t>[Heading inserted in Gazette 4 Jan 2008 p. 5.]</w:t>
      </w:r>
    </w:p>
    <w:p>
      <w:pPr>
        <w:pStyle w:val="Heading5"/>
      </w:pPr>
      <w:bookmarkStart w:id="55" w:name="_Toc187134322"/>
      <w:r>
        <w:rPr>
          <w:rStyle w:val="CharSectno"/>
        </w:rPr>
        <w:t>17B</w:t>
      </w:r>
      <w:r>
        <w:t>.</w:t>
      </w:r>
      <w:r>
        <w:tab/>
        <w:t>Requirement for an approved plan</w:t>
      </w:r>
      <w:bookmarkEnd w:id="55"/>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56" w:name="_Toc187134323"/>
      <w:r>
        <w:rPr>
          <w:rStyle w:val="CharSectno"/>
        </w:rPr>
        <w:t>17C</w:t>
      </w:r>
      <w:r>
        <w:t>.</w:t>
      </w:r>
      <w:r>
        <w:tab/>
        <w:t>Content of management plan</w:t>
      </w:r>
      <w:bookmarkEnd w:id="56"/>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pPr>
      <w:r>
        <w:tab/>
        <w:t>(c)</w:t>
      </w:r>
      <w:r>
        <w:tab/>
        <w:t xml:space="preserve">set out details of the gas injected into the system by the pipeline operator including — </w:t>
      </w:r>
    </w:p>
    <w:p>
      <w:pPr>
        <w:pStyle w:val="Indenti"/>
      </w:pPr>
      <w:r>
        <w:tab/>
        <w:t>(i)</w:t>
      </w:r>
      <w:r>
        <w:tab/>
        <w:t>the higher heating value of the injected gas; and</w:t>
      </w:r>
    </w:p>
    <w:p>
      <w:pPr>
        <w:pStyle w:val="Indenti"/>
      </w:pPr>
      <w:r>
        <w:tab/>
        <w:t>(ii)</w:t>
      </w:r>
      <w:r>
        <w:tab/>
        <w:t>the volume of gas injected on a gas day; and</w:t>
      </w:r>
    </w:p>
    <w:p>
      <w:pPr>
        <w:pStyle w:val="Indenti"/>
      </w:pPr>
      <w:r>
        <w:tab/>
        <w:t>(iii)</w:t>
      </w:r>
      <w:r>
        <w:tab/>
        <w:t>the rate at which it is injected; and</w:t>
      </w:r>
    </w:p>
    <w:p>
      <w:pPr>
        <w:pStyle w:val="Indenti"/>
      </w:pPr>
      <w:r>
        <w:tab/>
        <w:t>(iv)</w:t>
      </w:r>
      <w:r>
        <w:tab/>
        <w:t>if gas of different qualities is injected, the mixing ratios in respect of that gas;</w:t>
      </w:r>
    </w:p>
    <w:p>
      <w:pPr>
        <w:pStyle w:val="Indenta"/>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pPr>
      <w:r>
        <w:tab/>
        <w:t>(i)</w:t>
      </w:r>
      <w:r>
        <w:tab/>
        <w:t>ensure, as far as is reasonably practicable, that commingling occurs at a controlled or determined rate; and</w:t>
      </w:r>
    </w:p>
    <w:p>
      <w:pPr>
        <w:pStyle w:val="Indenti"/>
      </w:pPr>
      <w:r>
        <w:tab/>
        <w:t>(ii)</w:t>
      </w:r>
      <w:r>
        <w:tab/>
        <w:t>minimise, as far as is reasonably practicable, variations in the higher heating value of gas injected by the pipeline operator into a distribution system on any gas day;</w:t>
      </w:r>
    </w:p>
    <w:p>
      <w:pPr>
        <w:pStyle w:val="Indenta"/>
      </w:pPr>
      <w:r>
        <w:tab/>
      </w:r>
      <w:r>
        <w:tab/>
        <w:t>and</w:t>
      </w:r>
    </w:p>
    <w:p>
      <w:pPr>
        <w:pStyle w:val="Indenta"/>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57" w:name="_Toc187134324"/>
      <w:r>
        <w:rPr>
          <w:rStyle w:val="CharSectno"/>
        </w:rPr>
        <w:t>17D</w:t>
      </w:r>
      <w:r>
        <w:t>.</w:t>
      </w:r>
      <w:r>
        <w:tab/>
        <w:t>Submission of management plan for approval</w:t>
      </w:r>
      <w:bookmarkEnd w:id="57"/>
    </w:p>
    <w:p>
      <w:pPr>
        <w:pStyle w:val="Subsection"/>
      </w:pPr>
      <w:r>
        <w:tab/>
        <w:t>(1)</w:t>
      </w:r>
      <w:r>
        <w:tab/>
        <w:t xml:space="preserve">In this regulation — </w:t>
      </w:r>
    </w:p>
    <w:p>
      <w:pPr>
        <w:pStyle w:val="Defstart"/>
      </w:pPr>
      <w:r>
        <w:rPr>
          <w:b/>
        </w:rPr>
        <w:tab/>
        <w:t>“</w:t>
      </w:r>
      <w:r>
        <w:rPr>
          <w:rStyle w:val="CharDefText"/>
        </w:rPr>
        <w:t>existing operator</w:t>
      </w:r>
      <w:r>
        <w:rPr>
          <w:b/>
        </w:rPr>
        <w:t>”</w:t>
      </w:r>
      <w:r>
        <w:rPr>
          <w:bCs/>
        </w:rPr>
        <w:t>, in relation to a distribution system, means</w:t>
      </w:r>
      <w:r>
        <w:t xml:space="preserve"> a person who already carries out gas operations on the relevant day;</w:t>
      </w:r>
    </w:p>
    <w:p>
      <w:pPr>
        <w:pStyle w:val="Defstart"/>
      </w:pPr>
      <w:r>
        <w:rPr>
          <w:b/>
        </w:rPr>
        <w:tab/>
        <w:t>“</w:t>
      </w:r>
      <w:r>
        <w:rPr>
          <w:rStyle w:val="CharDefText"/>
        </w:rPr>
        <w:t>gas operations</w:t>
      </w:r>
      <w:r>
        <w:rPr>
          <w:b/>
        </w:rPr>
        <w:t>”</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t>“</w:t>
      </w:r>
      <w:r>
        <w:rPr>
          <w:rStyle w:val="CharDefText"/>
        </w:rPr>
        <w:t>new operator</w:t>
      </w:r>
      <w:r>
        <w:rPr>
          <w:b/>
        </w:rPr>
        <w:t>”</w:t>
      </w:r>
      <w:r>
        <w:rPr>
          <w:bCs/>
        </w:rPr>
        <w:t xml:space="preserve">, in relation to a distribution system, </w:t>
      </w:r>
      <w:r>
        <w:t>means a person who is to commence gas operations after the relevant day;</w:t>
      </w:r>
    </w:p>
    <w:p>
      <w:pPr>
        <w:pStyle w:val="Defstart"/>
      </w:pPr>
      <w:r>
        <w:rPr>
          <w:b/>
        </w:rPr>
        <w:tab/>
        <w:t>“</w:t>
      </w:r>
      <w:r>
        <w:rPr>
          <w:rStyle w:val="CharDefText"/>
        </w:rPr>
        <w:t>relevant day</w:t>
      </w:r>
      <w:r>
        <w:rPr>
          <w:b/>
        </w:rPr>
        <w:t>”</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58" w:name="_Toc187134325"/>
      <w:r>
        <w:rPr>
          <w:rStyle w:val="CharSectno"/>
        </w:rPr>
        <w:t>17E</w:t>
      </w:r>
      <w:r>
        <w:t>.</w:t>
      </w:r>
      <w:r>
        <w:tab/>
        <w:t>Approval of management plan</w:t>
      </w:r>
      <w:bookmarkEnd w:id="58"/>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59" w:name="_Toc187134326"/>
      <w:r>
        <w:rPr>
          <w:rStyle w:val="CharSectno"/>
        </w:rPr>
        <w:t>17F</w:t>
      </w:r>
      <w:r>
        <w:t>.</w:t>
      </w:r>
      <w:r>
        <w:tab/>
        <w:t>Amendment or replacement of an approved plan</w:t>
      </w:r>
      <w:bookmarkEnd w:id="59"/>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60" w:name="_Toc187134327"/>
      <w:r>
        <w:rPr>
          <w:rStyle w:val="CharSectno"/>
        </w:rPr>
        <w:t>17G</w:t>
      </w:r>
      <w:r>
        <w:t>.</w:t>
      </w:r>
      <w:r>
        <w:tab/>
        <w:t>Director may require amendment</w:t>
      </w:r>
      <w:bookmarkEnd w:id="60"/>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61" w:name="_Toc187134328"/>
      <w:r>
        <w:rPr>
          <w:rStyle w:val="CharSectno"/>
        </w:rPr>
        <w:t>17H</w:t>
      </w:r>
      <w:r>
        <w:t>.</w:t>
      </w:r>
      <w:r>
        <w:tab/>
        <w:t>Compliance with an approved plan</w:t>
      </w:r>
      <w:bookmarkEnd w:id="61"/>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pPr>
      <w:r>
        <w:tab/>
        <w:t>(3)</w:t>
      </w:r>
      <w:r>
        <w:tab/>
        <w:t>Subregulations (1) and (2) do not apply during an emergency.</w:t>
      </w:r>
    </w:p>
    <w:p>
      <w:pPr>
        <w:pStyle w:val="Footnotesection"/>
      </w:pPr>
      <w:r>
        <w:tab/>
        <w:t>[Regulation 17H inserted in Gazette 4 Jan 2008 p. 11-12.]</w:t>
      </w:r>
    </w:p>
    <w:p>
      <w:pPr>
        <w:pStyle w:val="Heading3"/>
      </w:pPr>
      <w:bookmarkStart w:id="62" w:name="_Toc187134329"/>
      <w:r>
        <w:rPr>
          <w:rStyle w:val="CharDivNo"/>
        </w:rPr>
        <w:t>Division 3</w:t>
      </w:r>
      <w:r>
        <w:t> — </w:t>
      </w:r>
      <w:r>
        <w:rPr>
          <w:rStyle w:val="CharDivText"/>
        </w:rPr>
        <w:t>Determination of heating value of gas</w:t>
      </w:r>
      <w:bookmarkEnd w:id="62"/>
    </w:p>
    <w:p>
      <w:pPr>
        <w:pStyle w:val="Footnoteheading"/>
      </w:pPr>
      <w:r>
        <w:tab/>
        <w:t>[Heading inserted in Gazette 4 Jan 2008 p. 12.]</w:t>
      </w:r>
    </w:p>
    <w:p>
      <w:pPr>
        <w:pStyle w:val="Heading5"/>
      </w:pPr>
      <w:bookmarkStart w:id="63" w:name="_Toc187134330"/>
      <w:r>
        <w:rPr>
          <w:rStyle w:val="CharSectno"/>
        </w:rPr>
        <w:t>17I</w:t>
      </w:r>
      <w:r>
        <w:t>.</w:t>
      </w:r>
      <w:r>
        <w:tab/>
        <w:t>Establishing a HHV zone or HHV zones</w:t>
      </w:r>
      <w:bookmarkEnd w:id="63"/>
    </w:p>
    <w:p>
      <w:pPr>
        <w:pStyle w:val="Subsection"/>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64" w:name="_Toc187134331"/>
      <w:r>
        <w:rPr>
          <w:rStyle w:val="CharSectno"/>
        </w:rPr>
        <w:t>17J</w:t>
      </w:r>
      <w:r>
        <w:t>.</w:t>
      </w:r>
      <w:r>
        <w:tab/>
        <w:t>Network operator to determine heating value of gas</w:t>
      </w:r>
      <w:bookmarkEnd w:id="64"/>
    </w:p>
    <w:p>
      <w:pPr>
        <w:pStyle w:val="Subsection"/>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65" w:name="_Toc187134332"/>
      <w:r>
        <w:rPr>
          <w:rStyle w:val="CharPartNo"/>
        </w:rPr>
        <w:t>Part 4</w:t>
      </w:r>
      <w:r>
        <w:t xml:space="preserve"> — </w:t>
      </w:r>
      <w:r>
        <w:rPr>
          <w:rStyle w:val="CharPartText"/>
        </w:rPr>
        <w:t>Distribution system safety</w:t>
      </w:r>
      <w:bookmarkEnd w:id="65"/>
    </w:p>
    <w:p>
      <w:pPr>
        <w:pStyle w:val="Heading3"/>
      </w:pPr>
      <w:bookmarkStart w:id="66" w:name="_Toc187134333"/>
      <w:r>
        <w:rPr>
          <w:rStyle w:val="CharDivNo"/>
        </w:rPr>
        <w:t>Division 1</w:t>
      </w:r>
      <w:r>
        <w:t xml:space="preserve"> — </w:t>
      </w:r>
      <w:r>
        <w:rPr>
          <w:rStyle w:val="CharDivText"/>
        </w:rPr>
        <w:t>Obligations related to the carrying out of prescribed activities</w:t>
      </w:r>
      <w:bookmarkEnd w:id="66"/>
    </w:p>
    <w:p>
      <w:pPr>
        <w:pStyle w:val="Heading5"/>
      </w:pPr>
      <w:bookmarkStart w:id="67" w:name="_Toc482683049"/>
      <w:bookmarkStart w:id="68" w:name="_Toc187134334"/>
      <w:r>
        <w:rPr>
          <w:rStyle w:val="CharSectno"/>
        </w:rPr>
        <w:t>18</w:t>
      </w:r>
      <w:r>
        <w:t>.</w:t>
      </w:r>
      <w:r>
        <w:tab/>
        <w:t>Management of prescribed activities</w:t>
      </w:r>
      <w:bookmarkEnd w:id="67"/>
      <w:bookmarkEnd w:id="68"/>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Heading5"/>
      </w:pPr>
      <w:bookmarkStart w:id="69" w:name="_Toc482683050"/>
      <w:bookmarkStart w:id="70" w:name="_Toc187134335"/>
      <w:r>
        <w:rPr>
          <w:rStyle w:val="CharSectno"/>
        </w:rPr>
        <w:t>19</w:t>
      </w:r>
      <w:r>
        <w:t>.</w:t>
      </w:r>
      <w:r>
        <w:tab/>
        <w:t>Evidence of compliance: standards and codes</w:t>
      </w:r>
      <w:bookmarkEnd w:id="69"/>
      <w:bookmarkEnd w:id="70"/>
    </w:p>
    <w:p>
      <w:pPr>
        <w:pStyle w:val="Subsection"/>
      </w:pPr>
      <w:r>
        <w:tab/>
        <w:t>(1)</w:t>
      </w:r>
      <w:r>
        <w:tab/>
        <w:t>Compliance by a network operator to whom Division 2 applies with a relevant provision of —</w:t>
      </w:r>
    </w:p>
    <w:p>
      <w:pPr>
        <w:pStyle w:val="Indenta"/>
      </w:pPr>
      <w:r>
        <w:tab/>
        <w:t>(a)</w:t>
      </w:r>
      <w:r>
        <w:tab/>
        <w:t>a standard or code published under a law of any jurisdiction in Australia;</w:t>
      </w:r>
    </w:p>
    <w:p>
      <w:pPr>
        <w:pStyle w:val="Indenta"/>
      </w:pPr>
      <w:r>
        <w:tab/>
        <w:t>(b)</w:t>
      </w:r>
      <w:r>
        <w:tab/>
        <w:t>a standard or code published by Standards Australia or the Australian Gas Association;</w:t>
      </w:r>
    </w:p>
    <w:p>
      <w:pPr>
        <w:pStyle w:val="Indenta"/>
      </w:pPr>
      <w:r>
        <w:tab/>
        <w:t>(c)</w:t>
      </w:r>
      <w:r>
        <w:tab/>
        <w:t>a standard or code published by any other body and approved by the Director; or</w:t>
      </w:r>
    </w:p>
    <w:p>
      <w:pPr>
        <w:pStyle w:val="Indenta"/>
        <w:keepNext/>
      </w:pPr>
      <w:r>
        <w:tab/>
        <w:t>(d)</w:t>
      </w:r>
      <w:r>
        <w:tab/>
        <w:t>a standard or code specified in Schedule 1,</w:t>
      </w:r>
    </w:p>
    <w:p>
      <w:pPr>
        <w:pStyle w:val="Subsection"/>
      </w:pPr>
      <w:r>
        <w:tab/>
      </w:r>
      <w:r>
        <w:tab/>
        <w:t>is evidence of compliance by that network operator with regulation 18 if the provision is not inconsistent with a provision referred to in regulation 24(4).</w:t>
      </w:r>
    </w:p>
    <w:p>
      <w:pPr>
        <w:pStyle w:val="Subsection"/>
      </w:pPr>
      <w:r>
        <w:tab/>
        <w:t>(2)</w:t>
      </w:r>
      <w:r>
        <w:tab/>
        <w:t>A network operator may submit a standard or code to the Director for approval under subregulation (1)(c).</w:t>
      </w:r>
    </w:p>
    <w:p>
      <w:pPr>
        <w:pStyle w:val="Heading5"/>
      </w:pPr>
      <w:bookmarkStart w:id="71" w:name="_Toc482683051"/>
      <w:bookmarkStart w:id="72" w:name="_Toc187134336"/>
      <w:r>
        <w:rPr>
          <w:rStyle w:val="CharSectno"/>
        </w:rPr>
        <w:t>20</w:t>
      </w:r>
      <w:r>
        <w:t>.</w:t>
      </w:r>
      <w:r>
        <w:tab/>
        <w:t>Evidence of compliance: accepted safety case</w:t>
      </w:r>
      <w:bookmarkEnd w:id="71"/>
      <w:bookmarkEnd w:id="72"/>
    </w:p>
    <w:p>
      <w:pPr>
        <w:pStyle w:val="Subsection"/>
      </w:pPr>
      <w:r>
        <w:tab/>
      </w:r>
      <w:r>
        <w:tab/>
        <w:t>Compliance by a network operator to whom Division 2 does not apply with a practice, procedure or provision described in regulation 37 is evidence of compliance by that network operator with regulation 18.</w:t>
      </w:r>
    </w:p>
    <w:p>
      <w:pPr>
        <w:pStyle w:val="Heading5"/>
      </w:pPr>
      <w:bookmarkStart w:id="73" w:name="_Toc482683052"/>
      <w:bookmarkStart w:id="74" w:name="_Toc187134337"/>
      <w:r>
        <w:rPr>
          <w:rStyle w:val="CharSectno"/>
        </w:rPr>
        <w:t>21</w:t>
      </w:r>
      <w:r>
        <w:t>.</w:t>
      </w:r>
      <w:r>
        <w:tab/>
        <w:t>Persons carrying out prescribed activities</w:t>
      </w:r>
      <w:bookmarkEnd w:id="73"/>
      <w:bookmarkEnd w:id="74"/>
    </w:p>
    <w:p>
      <w:pPr>
        <w:pStyle w:val="Subsection"/>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75" w:name="_Toc482683053"/>
      <w:bookmarkStart w:id="76" w:name="_Toc187134338"/>
      <w:r>
        <w:rPr>
          <w:rStyle w:val="CharSectno"/>
        </w:rPr>
        <w:t>22</w:t>
      </w:r>
      <w:r>
        <w:t>.</w:t>
      </w:r>
      <w:r>
        <w:tab/>
        <w:t>Network operator to notify Director of proposed major activities</w:t>
      </w:r>
      <w:bookmarkEnd w:id="75"/>
      <w:bookmarkEnd w:id="76"/>
    </w:p>
    <w:p>
      <w:pPr>
        <w:pStyle w:val="Subsection"/>
      </w:pPr>
      <w:r>
        <w:tab/>
        <w:t>(1)</w:t>
      </w:r>
      <w:r>
        <w:tab/>
        <w:t>In this regulation —</w:t>
      </w:r>
    </w:p>
    <w:p>
      <w:pPr>
        <w:pStyle w:val="Defstart"/>
      </w:pPr>
      <w:r>
        <w:tab/>
      </w:r>
      <w:r>
        <w:rPr>
          <w:b/>
        </w:rPr>
        <w:t>“</w:t>
      </w:r>
      <w:r>
        <w:rPr>
          <w:rStyle w:val="CharDefText"/>
        </w:rPr>
        <w:t>major activity</w:t>
      </w:r>
      <w:r>
        <w:rPr>
          <w:b/>
        </w:rPr>
        <w:t>”</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3"/>
      </w:pPr>
      <w:bookmarkStart w:id="77" w:name="_Toc187134339"/>
      <w:r>
        <w:rPr>
          <w:rStyle w:val="CharDivNo"/>
        </w:rPr>
        <w:t>Division 2</w:t>
      </w:r>
      <w:r>
        <w:t xml:space="preserve"> — </w:t>
      </w:r>
      <w:r>
        <w:rPr>
          <w:rStyle w:val="CharDivText"/>
        </w:rPr>
        <w:t>Provisions applicable in absence of accepted safety case</w:t>
      </w:r>
      <w:bookmarkEnd w:id="77"/>
    </w:p>
    <w:p>
      <w:pPr>
        <w:pStyle w:val="Heading5"/>
      </w:pPr>
      <w:bookmarkStart w:id="78" w:name="_Toc482683054"/>
      <w:bookmarkStart w:id="79" w:name="_Toc187134340"/>
      <w:r>
        <w:rPr>
          <w:rStyle w:val="CharSectno"/>
        </w:rPr>
        <w:t>23</w:t>
      </w:r>
      <w:r>
        <w:t>.</w:t>
      </w:r>
      <w:r>
        <w:tab/>
        <w:t>Application of Division</w:t>
      </w:r>
      <w:bookmarkEnd w:id="78"/>
      <w:bookmarkEnd w:id="79"/>
    </w:p>
    <w:p>
      <w:pPr>
        <w:pStyle w:val="Subsection"/>
      </w:pPr>
      <w:r>
        <w:tab/>
      </w:r>
      <w:r>
        <w:tab/>
        <w:t>This Division applies to a network operator unless an accepted safety case has effect in relation to the distribution system of the network operator.</w:t>
      </w:r>
    </w:p>
    <w:p>
      <w:pPr>
        <w:pStyle w:val="Heading5"/>
      </w:pPr>
      <w:bookmarkStart w:id="80" w:name="_Toc482683055"/>
      <w:bookmarkStart w:id="81" w:name="_Toc187134341"/>
      <w:r>
        <w:rPr>
          <w:rStyle w:val="CharSectno"/>
        </w:rPr>
        <w:t>24</w:t>
      </w:r>
      <w:r>
        <w:t>.</w:t>
      </w:r>
      <w:r>
        <w:tab/>
        <w:t>Obligatory standards and codes</w:t>
      </w:r>
      <w:bookmarkEnd w:id="80"/>
      <w:bookmarkEnd w:id="81"/>
    </w:p>
    <w:p>
      <w:pPr>
        <w:pStyle w:val="Subsection"/>
      </w:pPr>
      <w:r>
        <w:tab/>
        <w:t>(1)</w:t>
      </w:r>
      <w:r>
        <w:tab/>
        <w:t>A network operator must ensure that a prescribed activity is carried out in such a way as to comply with any provision of a standard or code specified in Schedule 2 that is expressed in mandatory terms.</w:t>
      </w:r>
    </w:p>
    <w:p>
      <w:pPr>
        <w:pStyle w:val="Subsection"/>
      </w:pPr>
      <w:r>
        <w:tab/>
        <w:t>(2)</w:t>
      </w:r>
      <w:r>
        <w:tab/>
        <w:t>If the Director is satisfied that the purpose of any provision described in subregulation (1) would be achieved at least as effectively if an alternative provision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18 in so far as the scope of the prescribed activity is covered by the standard or code or the alternative provision, as the case may be.</w:t>
      </w:r>
    </w:p>
    <w:p>
      <w:pPr>
        <w:pStyle w:val="Heading5"/>
      </w:pPr>
      <w:bookmarkStart w:id="82" w:name="_Toc482683056"/>
      <w:bookmarkStart w:id="83" w:name="_Toc187134342"/>
      <w:r>
        <w:rPr>
          <w:rStyle w:val="CharSectno"/>
        </w:rPr>
        <w:t>25</w:t>
      </w:r>
      <w:r>
        <w:t>.</w:t>
      </w:r>
      <w:r>
        <w:tab/>
        <w:t>Information and training</w:t>
      </w:r>
      <w:bookmarkEnd w:id="82"/>
      <w:bookmarkEnd w:id="83"/>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keepLines w:val="0"/>
      </w:pPr>
      <w:bookmarkStart w:id="84" w:name="_Toc482683057"/>
      <w:bookmarkStart w:id="85" w:name="_Toc187134343"/>
      <w:r>
        <w:rPr>
          <w:rStyle w:val="CharSectno"/>
        </w:rPr>
        <w:t>26</w:t>
      </w:r>
      <w:r>
        <w:t>.</w:t>
      </w:r>
      <w:r>
        <w:tab/>
        <w:t>Action when danger reported</w:t>
      </w:r>
      <w:bookmarkEnd w:id="84"/>
      <w:bookmarkEnd w:id="85"/>
    </w:p>
    <w:p>
      <w:pPr>
        <w:pStyle w:val="Subsection"/>
      </w:pPr>
      <w:r>
        <w:tab/>
        <w:t>(1)</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keepNext/>
        <w:keepLines/>
      </w:pPr>
      <w:r>
        <w:tab/>
        <w:t>(2)</w:t>
      </w:r>
      <w:r>
        <w:tab/>
        <w:t>If the investigation reveals that there is a threat to the safety of any person or property, the network operator must take such remedial action as is required to remove the threat as soon as is practicable.</w:t>
      </w:r>
    </w:p>
    <w:p>
      <w:pPr>
        <w:pStyle w:val="Subsection"/>
      </w:pPr>
      <w:r>
        <w:tab/>
        <w:t>(3)</w:t>
      </w:r>
      <w:r>
        <w:tab/>
        <w:t>In subregulation (1) —</w:t>
      </w:r>
    </w:p>
    <w:p>
      <w:pPr>
        <w:pStyle w:val="Defstart"/>
      </w:pPr>
      <w:r>
        <w:tab/>
      </w:r>
      <w:r>
        <w:rPr>
          <w:b/>
        </w:rPr>
        <w:t>“</w:t>
      </w:r>
      <w:r>
        <w:rPr>
          <w:rStyle w:val="CharDefText"/>
        </w:rPr>
        <w:t>former distribution system</w:t>
      </w:r>
      <w:r>
        <w:rPr>
          <w:b/>
        </w:rPr>
        <w:t>”</w:t>
      </w:r>
      <w:r>
        <w:t xml:space="preserve"> means anything owned by the network operator</w:t>
      </w:r>
      <w:r>
        <w:rPr>
          <w:b/>
          <w:i/>
          <w:sz w:val="22"/>
        </w:rPr>
        <w:t xml:space="preserve"> </w:t>
      </w:r>
      <w:r>
        <w:t>that would be a distribution system if it were still utilised for a purpose for which it previously was, but no longer is, utilised.</w:t>
      </w:r>
    </w:p>
    <w:p>
      <w:pPr>
        <w:pStyle w:val="Heading3"/>
      </w:pPr>
      <w:bookmarkStart w:id="86" w:name="_Toc187134344"/>
      <w:r>
        <w:rPr>
          <w:rStyle w:val="CharDivNo"/>
        </w:rPr>
        <w:t>Division 3</w:t>
      </w:r>
      <w:r>
        <w:t xml:space="preserve"> — </w:t>
      </w:r>
      <w:r>
        <w:rPr>
          <w:rStyle w:val="CharDivText"/>
        </w:rPr>
        <w:t>Safety case provisions</w:t>
      </w:r>
      <w:bookmarkEnd w:id="86"/>
    </w:p>
    <w:p>
      <w:pPr>
        <w:pStyle w:val="Heading5"/>
      </w:pPr>
      <w:bookmarkStart w:id="87" w:name="_Toc482683058"/>
      <w:bookmarkStart w:id="88" w:name="_Toc187134345"/>
      <w:r>
        <w:rPr>
          <w:rStyle w:val="CharSectno"/>
        </w:rPr>
        <w:t>27</w:t>
      </w:r>
      <w:r>
        <w:t>.</w:t>
      </w:r>
      <w:r>
        <w:tab/>
        <w:t>Submission of safety case</w:t>
      </w:r>
      <w:bookmarkEnd w:id="87"/>
      <w:bookmarkEnd w:id="88"/>
    </w:p>
    <w:p>
      <w:pPr>
        <w:pStyle w:val="Subsection"/>
      </w:pPr>
      <w:r>
        <w:tab/>
        <w:t>(1)</w:t>
      </w:r>
      <w:r>
        <w:tab/>
        <w:t>A network operator may submit a safety case to the Director for the distribution system of the network operator.</w:t>
      </w:r>
    </w:p>
    <w:p>
      <w:pPr>
        <w:pStyle w:val="Subsection"/>
      </w:pPr>
      <w:r>
        <w:tab/>
        <w:t>(2)</w:t>
      </w:r>
      <w:r>
        <w:tab/>
        <w:t>A safety case submitted under subregulation (1) is to comply with —</w:t>
      </w:r>
    </w:p>
    <w:p>
      <w:pPr>
        <w:pStyle w:val="Indenta"/>
      </w:pPr>
      <w:r>
        <w:tab/>
        <w:t>(a)</w:t>
      </w:r>
      <w:r>
        <w:tab/>
        <w:t>AG 606 — 1997; and</w:t>
      </w:r>
    </w:p>
    <w:p>
      <w:pPr>
        <w:pStyle w:val="Indenta"/>
      </w:pPr>
      <w:r>
        <w:tab/>
        <w:t>(b)</w:t>
      </w:r>
      <w:r>
        <w:tab/>
        <w:t>AS 2885.1 — 1997 if that standard applies to the distribution system concerned.</w:t>
      </w:r>
    </w:p>
    <w:p>
      <w:pPr>
        <w:pStyle w:val="Heading5"/>
      </w:pPr>
      <w:bookmarkStart w:id="89" w:name="_Toc482683059"/>
      <w:bookmarkStart w:id="90" w:name="_Toc187134346"/>
      <w:r>
        <w:rPr>
          <w:rStyle w:val="CharSectno"/>
        </w:rPr>
        <w:t>28</w:t>
      </w:r>
      <w:r>
        <w:t>.</w:t>
      </w:r>
      <w:r>
        <w:tab/>
        <w:t>Exemption</w:t>
      </w:r>
      <w:bookmarkEnd w:id="89"/>
      <w:bookmarkEnd w:id="90"/>
    </w:p>
    <w:p>
      <w:pPr>
        <w:pStyle w:val="Subsection"/>
      </w:pPr>
      <w:r>
        <w:tab/>
        <w:t>(1)</w:t>
      </w:r>
      <w:r>
        <w:tab/>
        <w:t>The Director may, by instrument —</w:t>
      </w:r>
    </w:p>
    <w:p>
      <w:pPr>
        <w:pStyle w:val="Indenta"/>
      </w:pPr>
      <w:r>
        <w:tab/>
        <w:t>(a)</w:t>
      </w:r>
      <w:r>
        <w:tab/>
        <w:t>exempt a network operator from compliance with a provision of a code or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91" w:name="_Toc482683060"/>
      <w:bookmarkStart w:id="92" w:name="_Toc187134347"/>
      <w:r>
        <w:rPr>
          <w:rStyle w:val="CharSectno"/>
        </w:rPr>
        <w:t>29</w:t>
      </w:r>
      <w:r>
        <w:t>.</w:t>
      </w:r>
      <w:r>
        <w:tab/>
        <w:t>Guidelines</w:t>
      </w:r>
      <w:bookmarkEnd w:id="91"/>
      <w:bookmarkEnd w:id="92"/>
    </w:p>
    <w:p>
      <w:pPr>
        <w:pStyle w:val="Subsection"/>
      </w:pPr>
      <w:r>
        <w:tab/>
      </w:r>
      <w:r>
        <w:tab/>
        <w:t>The Director may from time to time issue guidelines to assist in the preparation of a safety case.</w:t>
      </w:r>
    </w:p>
    <w:p>
      <w:pPr>
        <w:pStyle w:val="Heading5"/>
      </w:pPr>
      <w:bookmarkStart w:id="93" w:name="_Toc482683061"/>
      <w:bookmarkStart w:id="94" w:name="_Toc187134348"/>
      <w:r>
        <w:rPr>
          <w:rStyle w:val="CharSectno"/>
        </w:rPr>
        <w:t>30</w:t>
      </w:r>
      <w:r>
        <w:t>.</w:t>
      </w:r>
      <w:r>
        <w:tab/>
        <w:t>Nomination of person to perform auditing role</w:t>
      </w:r>
      <w:bookmarkEnd w:id="93"/>
      <w:bookmarkEnd w:id="94"/>
    </w:p>
    <w:p>
      <w:pPr>
        <w:pStyle w:val="Subsection"/>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95" w:name="_Hlt461851173"/>
      <w:bookmarkEnd w:id="95"/>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96" w:name="_Toc482683062"/>
      <w:bookmarkStart w:id="97" w:name="_Toc187134349"/>
      <w:r>
        <w:rPr>
          <w:rStyle w:val="CharSectno"/>
        </w:rPr>
        <w:t>31</w:t>
      </w:r>
      <w:r>
        <w:t>.</w:t>
      </w:r>
      <w:r>
        <w:tab/>
        <w:t>Preliminary certification of safety case</w:t>
      </w:r>
      <w:bookmarkEnd w:id="96"/>
      <w:bookmarkEnd w:id="97"/>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b/>
        </w:rPr>
        <w:t>“</w:t>
      </w:r>
      <w:r>
        <w:rPr>
          <w:rStyle w:val="CharDefText"/>
        </w:rPr>
        <w:t>implementation plan</w:t>
      </w:r>
      <w:r>
        <w:rPr>
          <w:b/>
        </w:rPr>
        <w:t>”</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98" w:name="_Toc482683063"/>
      <w:bookmarkStart w:id="99" w:name="_Toc187134350"/>
      <w:r>
        <w:rPr>
          <w:rStyle w:val="CharSectno"/>
        </w:rPr>
        <w:t>32</w:t>
      </w:r>
      <w:r>
        <w:t>.</w:t>
      </w:r>
      <w:r>
        <w:tab/>
        <w:t>Approval of safety case for purposes of final certification</w:t>
      </w:r>
      <w:bookmarkEnd w:id="98"/>
      <w:bookmarkEnd w:id="99"/>
    </w:p>
    <w:p>
      <w:pPr>
        <w:pStyle w:val="Subsection"/>
      </w:pPr>
      <w:r>
        <w:tab/>
        <w:t>(1)</w:t>
      </w:r>
      <w:r>
        <w:tab/>
        <w:t>The Director must assess any safety case submitted in accordance with this Division.</w:t>
      </w:r>
    </w:p>
    <w:p>
      <w:pPr>
        <w:pStyle w:val="Subsection"/>
      </w:pPr>
      <w:r>
        <w:tab/>
      </w:r>
      <w:bookmarkStart w:id="100" w:name="_Hlt461851187"/>
      <w:bookmarkEnd w:id="100"/>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101" w:name="_Toc482683064"/>
      <w:bookmarkStart w:id="102" w:name="_Toc187134351"/>
      <w:r>
        <w:rPr>
          <w:rStyle w:val="CharSectno"/>
        </w:rPr>
        <w:t>33</w:t>
      </w:r>
      <w:r>
        <w:t>.</w:t>
      </w:r>
      <w:r>
        <w:tab/>
        <w:t>Final certification of safety case</w:t>
      </w:r>
      <w:bookmarkEnd w:id="101"/>
      <w:bookmarkEnd w:id="102"/>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103" w:name="_Toc482683065"/>
      <w:bookmarkStart w:id="104" w:name="_Toc187134352"/>
      <w:r>
        <w:rPr>
          <w:rStyle w:val="CharSectno"/>
        </w:rPr>
        <w:t>34</w:t>
      </w:r>
      <w:r>
        <w:t>.</w:t>
      </w:r>
      <w:r>
        <w:tab/>
        <w:t>Acceptance or rejection of safety case</w:t>
      </w:r>
      <w:bookmarkEnd w:id="103"/>
      <w:bookmarkEnd w:id="104"/>
    </w:p>
    <w:p>
      <w:pPr>
        <w:pStyle w:val="Subsection"/>
      </w:pPr>
      <w:r>
        <w:tab/>
        <w:t>(1)</w:t>
      </w:r>
      <w:r>
        <w:tab/>
        <w:t>On receipt of a certificate under regulation 33(1),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105" w:name="_Toc482683066"/>
      <w:bookmarkStart w:id="106" w:name="_Toc187134353"/>
      <w:r>
        <w:rPr>
          <w:rStyle w:val="CharSectno"/>
        </w:rPr>
        <w:t>35</w:t>
      </w:r>
      <w:r>
        <w:t>.</w:t>
      </w:r>
      <w:r>
        <w:tab/>
        <w:t>Implementation of safety case</w:t>
      </w:r>
      <w:bookmarkEnd w:id="105"/>
      <w:bookmarkEnd w:id="106"/>
    </w:p>
    <w:p>
      <w:pPr>
        <w:pStyle w:val="Subsection"/>
      </w:pPr>
      <w:r>
        <w:tab/>
        <w:t>(1)</w:t>
      </w:r>
      <w:r>
        <w:tab/>
        <w:t xml:space="preserve">The acceptance of a safety case ceases to have effect for the purposes of these regulations if the network operator has not implemented it within 6 months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107" w:name="_Toc482683067"/>
      <w:bookmarkStart w:id="108" w:name="_Toc187134354"/>
      <w:r>
        <w:rPr>
          <w:rStyle w:val="CharSectno"/>
        </w:rPr>
        <w:t>36</w:t>
      </w:r>
      <w:r>
        <w:t>.</w:t>
      </w:r>
      <w:r>
        <w:tab/>
        <w:t>Period of operation of accepted safety case</w:t>
      </w:r>
      <w:bookmarkEnd w:id="107"/>
      <w:bookmarkEnd w:id="108"/>
    </w:p>
    <w:p>
      <w:pPr>
        <w:pStyle w:val="Subsection"/>
      </w:pPr>
      <w:r>
        <w:tab/>
      </w:r>
      <w:r>
        <w:tab/>
        <w:t>Subject to regulation 40(5), an accepted safety case has effect in relation to a distribution system for the period of 5 years beginning on implementation day.</w:t>
      </w:r>
    </w:p>
    <w:p>
      <w:pPr>
        <w:pStyle w:val="Heading5"/>
      </w:pPr>
      <w:bookmarkStart w:id="109" w:name="_Toc482683068"/>
      <w:bookmarkStart w:id="110" w:name="_Toc187134355"/>
      <w:r>
        <w:rPr>
          <w:rStyle w:val="CharSectno"/>
        </w:rPr>
        <w:t>37</w:t>
      </w:r>
      <w:r>
        <w:t>.</w:t>
      </w:r>
      <w:r>
        <w:tab/>
        <w:t>Compliance with accepted safety case</w:t>
      </w:r>
      <w:bookmarkEnd w:id="109"/>
      <w:bookmarkEnd w:id="110"/>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111" w:name="_Toc482683069"/>
      <w:bookmarkStart w:id="112" w:name="_Toc187134356"/>
      <w:r>
        <w:rPr>
          <w:rStyle w:val="CharSectno"/>
        </w:rPr>
        <w:t>38</w:t>
      </w:r>
      <w:r>
        <w:t>.</w:t>
      </w:r>
      <w:r>
        <w:tab/>
        <w:t>Periodical audit</w:t>
      </w:r>
      <w:bookmarkEnd w:id="111"/>
      <w:bookmarkEnd w:id="112"/>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b/>
        </w:rPr>
        <w:t>“</w:t>
      </w:r>
      <w:r>
        <w:rPr>
          <w:rStyle w:val="CharDefText"/>
        </w:rPr>
        <w:t>auditing period</w:t>
      </w:r>
      <w:r>
        <w:rPr>
          <w:b/>
        </w:rPr>
        <w:t>”</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113" w:name="_Toc482683070"/>
      <w:bookmarkStart w:id="114" w:name="_Toc187134357"/>
      <w:r>
        <w:rPr>
          <w:rStyle w:val="CharSectno"/>
        </w:rPr>
        <w:t>39</w:t>
      </w:r>
      <w:r>
        <w:t>.</w:t>
      </w:r>
      <w:r>
        <w:tab/>
        <w:t>Amendment of accepted safety case</w:t>
      </w:r>
      <w:bookmarkEnd w:id="113"/>
      <w:bookmarkEnd w:id="114"/>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115" w:name="_Toc482683071"/>
      <w:bookmarkStart w:id="116" w:name="_Toc187134358"/>
      <w:r>
        <w:rPr>
          <w:rStyle w:val="CharSectno"/>
        </w:rPr>
        <w:t>40</w:t>
      </w:r>
      <w:r>
        <w:t>.</w:t>
      </w:r>
      <w:r>
        <w:tab/>
        <w:t>Director may require amendment of accepted safety case</w:t>
      </w:r>
      <w:bookmarkEnd w:id="115"/>
      <w:bookmarkEnd w:id="116"/>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b/>
        </w:rPr>
        <w:t>“</w:t>
      </w:r>
      <w:r>
        <w:rPr>
          <w:rStyle w:val="CharDefText"/>
        </w:rPr>
        <w:t>specified</w:t>
      </w:r>
      <w:r>
        <w:rPr>
          <w:b/>
        </w:rPr>
        <w:t>”</w:t>
      </w:r>
      <w:r>
        <w:t xml:space="preserve"> means specified in the notice concerned.</w:t>
      </w:r>
    </w:p>
    <w:p>
      <w:pPr>
        <w:pStyle w:val="Heading5"/>
      </w:pPr>
      <w:bookmarkStart w:id="117" w:name="_Toc482683072"/>
      <w:bookmarkStart w:id="118" w:name="_Toc187134359"/>
      <w:r>
        <w:rPr>
          <w:rStyle w:val="CharSectno"/>
        </w:rPr>
        <w:t>41</w:t>
      </w:r>
      <w:r>
        <w:t>.</w:t>
      </w:r>
      <w:r>
        <w:tab/>
        <w:t>Records</w:t>
      </w:r>
      <w:bookmarkEnd w:id="117"/>
      <w:bookmarkEnd w:id="118"/>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119" w:name="_Toc187134360"/>
      <w:r>
        <w:rPr>
          <w:rStyle w:val="CharDivNo"/>
        </w:rPr>
        <w:t>Division 4</w:t>
      </w:r>
      <w:r>
        <w:t xml:space="preserve"> — </w:t>
      </w:r>
      <w:r>
        <w:rPr>
          <w:rStyle w:val="CharDivText"/>
        </w:rPr>
        <w:t>Notification, investigation and reporting of incidents</w:t>
      </w:r>
      <w:bookmarkEnd w:id="119"/>
    </w:p>
    <w:p>
      <w:pPr>
        <w:pStyle w:val="Heading5"/>
      </w:pPr>
      <w:bookmarkStart w:id="120" w:name="_Toc482683073"/>
      <w:bookmarkStart w:id="121" w:name="_Toc187134361"/>
      <w:r>
        <w:rPr>
          <w:rStyle w:val="CharSectno"/>
        </w:rPr>
        <w:t>42</w:t>
      </w:r>
      <w:r>
        <w:t>.</w:t>
      </w:r>
      <w:r>
        <w:tab/>
        <w:t>Definitions</w:t>
      </w:r>
      <w:bookmarkEnd w:id="120"/>
      <w:bookmarkEnd w:id="121"/>
    </w:p>
    <w:p>
      <w:pPr>
        <w:pStyle w:val="Subsection"/>
      </w:pPr>
      <w:r>
        <w:tab/>
      </w:r>
      <w:r>
        <w:tab/>
        <w:t>In this Division —</w:t>
      </w:r>
    </w:p>
    <w:p>
      <w:pPr>
        <w:pStyle w:val="Defstart"/>
      </w:pPr>
      <w:r>
        <w:tab/>
      </w:r>
      <w:r>
        <w:rPr>
          <w:b/>
        </w:rPr>
        <w:t>“</w:t>
      </w:r>
      <w:r>
        <w:rPr>
          <w:rStyle w:val="CharDefText"/>
        </w:rPr>
        <w:t>gas incident</w:t>
      </w:r>
      <w:r>
        <w:rPr>
          <w:b/>
        </w:rPr>
        <w: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b/>
        </w:rPr>
        <w:t>“</w:t>
      </w:r>
      <w:r>
        <w:rPr>
          <w:rStyle w:val="CharDefText"/>
        </w:rPr>
        <w:t>major discharge</w:t>
      </w:r>
      <w:r>
        <w:rPr>
          <w:b/>
        </w:rPr>
        <w:t>”</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b/>
        </w:rPr>
        <w:t>“</w:t>
      </w:r>
      <w:r>
        <w:rPr>
          <w:rStyle w:val="CharDefText"/>
        </w:rPr>
        <w:t>notifiable incident</w:t>
      </w:r>
      <w:r>
        <w:rPr>
          <w:b/>
        </w:rPr>
        <w:t>”</w:t>
      </w:r>
      <w:r>
        <w:t xml:space="preserve"> means an incident, event or other thing of which the Director requires notification under regulation 43;</w:t>
      </w:r>
    </w:p>
    <w:p>
      <w:pPr>
        <w:pStyle w:val="Defstart"/>
      </w:pPr>
      <w:r>
        <w:tab/>
      </w:r>
      <w:r>
        <w:rPr>
          <w:b/>
        </w:rPr>
        <w:t>“</w:t>
      </w:r>
      <w:r>
        <w:rPr>
          <w:rStyle w:val="CharDefText"/>
        </w:rPr>
        <w:t>private property</w:t>
      </w:r>
      <w:r>
        <w:rPr>
          <w:b/>
        </w:rPr>
        <w:t>”</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b/>
        </w:rPr>
        <w:t>“</w:t>
      </w:r>
      <w:r>
        <w:rPr>
          <w:rStyle w:val="CharDefText"/>
        </w:rPr>
        <w:t>serious damage</w:t>
      </w:r>
      <w:r>
        <w:rPr>
          <w:b/>
        </w:rPr>
        <w:t>”</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b/>
        </w:rPr>
        <w:t>“</w:t>
      </w:r>
      <w:r>
        <w:rPr>
          <w:rStyle w:val="CharDefText"/>
        </w:rPr>
        <w:t>serious injury</w:t>
      </w:r>
      <w:r>
        <w:rPr>
          <w:b/>
        </w:rPr>
        <w:t>”</w:t>
      </w:r>
      <w:r>
        <w:t xml:space="preserve"> means an injury that is fatal or requires the victim to be admitted to hospital whether for assessment, monitoring or treatment.</w:t>
      </w:r>
    </w:p>
    <w:p>
      <w:pPr>
        <w:pStyle w:val="Footnotesection"/>
      </w:pPr>
      <w:r>
        <w:tab/>
        <w:t>[Regulation 42 amended in Gazette 5 September 2000 p.5053.]</w:t>
      </w:r>
    </w:p>
    <w:p>
      <w:pPr>
        <w:pStyle w:val="Heading5"/>
      </w:pPr>
      <w:bookmarkStart w:id="122" w:name="_Toc482683074"/>
      <w:bookmarkStart w:id="123" w:name="_Toc187134362"/>
      <w:r>
        <w:rPr>
          <w:rStyle w:val="CharSectno"/>
        </w:rPr>
        <w:t>43</w:t>
      </w:r>
      <w:r>
        <w:t>.</w:t>
      </w:r>
      <w:r>
        <w:tab/>
        <w:t>Notifiable incidents</w:t>
      </w:r>
      <w:bookmarkEnd w:id="122"/>
      <w:bookmarkEnd w:id="123"/>
    </w:p>
    <w:p>
      <w:pPr>
        <w:pStyle w:val="Subsection"/>
      </w:pPr>
      <w:bookmarkStart w:id="124" w:name="_Hlt456002000"/>
      <w:bookmarkEnd w:id="124"/>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125" w:name="_Toc482683075"/>
      <w:bookmarkStart w:id="126" w:name="_Toc187134363"/>
      <w:r>
        <w:rPr>
          <w:rStyle w:val="CharSectno"/>
        </w:rPr>
        <w:t>44</w:t>
      </w:r>
      <w:r>
        <w:t>.</w:t>
      </w:r>
      <w:r>
        <w:tab/>
        <w:t>Network operator to investigate and report on notifiable incidents</w:t>
      </w:r>
      <w:bookmarkEnd w:id="125"/>
      <w:bookmarkEnd w:id="126"/>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r>
        <w:tab/>
        <w:t>(3)</w:t>
      </w:r>
      <w:r>
        <w:tab/>
        <w:t>The network operator must give the report to the Director within 30 days after the day on which the notifiable incident occurred.</w:t>
      </w:r>
    </w:p>
    <w:p>
      <w:pPr>
        <w:pStyle w:val="Heading5"/>
      </w:pPr>
      <w:bookmarkStart w:id="127" w:name="_Toc482683076"/>
      <w:bookmarkStart w:id="128" w:name="_Toc187134364"/>
      <w:r>
        <w:rPr>
          <w:rStyle w:val="CharSectno"/>
        </w:rPr>
        <w:t>45</w:t>
      </w:r>
      <w:r>
        <w:t>.</w:t>
      </w:r>
      <w:r>
        <w:tab/>
        <w:t>Investigation of notifiable incidents by Director</w:t>
      </w:r>
      <w:bookmarkEnd w:id="127"/>
      <w:bookmarkEnd w:id="128"/>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129" w:name="_Toc482683077"/>
      <w:bookmarkStart w:id="130" w:name="_Toc187134365"/>
      <w:r>
        <w:rPr>
          <w:rStyle w:val="CharSectno"/>
        </w:rPr>
        <w:t>46</w:t>
      </w:r>
      <w:r>
        <w:t>.</w:t>
      </w:r>
      <w:r>
        <w:tab/>
        <w:t>Examination of site of notifiable incident</w:t>
      </w:r>
      <w:bookmarkEnd w:id="129"/>
      <w:bookmarkEnd w:id="130"/>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131" w:name="_Toc482683078"/>
      <w:bookmarkStart w:id="132" w:name="_Toc187134366"/>
      <w:r>
        <w:rPr>
          <w:rStyle w:val="CharSectno"/>
        </w:rPr>
        <w:t>47</w:t>
      </w:r>
      <w:r>
        <w:t>.</w:t>
      </w:r>
      <w:r>
        <w:tab/>
        <w:t>Reporting requirements for gas incidents</w:t>
      </w:r>
      <w:bookmarkEnd w:id="131"/>
      <w:bookmarkEnd w:id="132"/>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133" w:name="_Toc187134367"/>
      <w:r>
        <w:rPr>
          <w:rStyle w:val="CharPartNo"/>
        </w:rPr>
        <w:t>Part 5</w:t>
      </w:r>
      <w:r>
        <w:rPr>
          <w:rStyle w:val="CharDivNo"/>
        </w:rPr>
        <w:t xml:space="preserve"> </w:t>
      </w:r>
      <w:r>
        <w:t>—</w:t>
      </w:r>
      <w:r>
        <w:rPr>
          <w:rStyle w:val="CharDivText"/>
        </w:rPr>
        <w:t xml:space="preserve"> </w:t>
      </w:r>
      <w:r>
        <w:rPr>
          <w:rStyle w:val="CharPartText"/>
        </w:rPr>
        <w:t>Gas plant safety</w:t>
      </w:r>
      <w:bookmarkEnd w:id="133"/>
    </w:p>
    <w:p>
      <w:pPr>
        <w:pStyle w:val="Heading5"/>
      </w:pPr>
      <w:bookmarkStart w:id="134" w:name="_Toc482683079"/>
      <w:bookmarkStart w:id="135" w:name="_Toc187134368"/>
      <w:r>
        <w:rPr>
          <w:rStyle w:val="CharSectno"/>
        </w:rPr>
        <w:t>48</w:t>
      </w:r>
      <w:r>
        <w:t>.</w:t>
      </w:r>
      <w:r>
        <w:tab/>
        <w:t>Application</w:t>
      </w:r>
      <w:bookmarkEnd w:id="134"/>
      <w:bookmarkEnd w:id="135"/>
    </w:p>
    <w:p>
      <w:pPr>
        <w:pStyle w:val="Subsection"/>
      </w:pPr>
      <w:r>
        <w:tab/>
      </w:r>
      <w:r>
        <w:tab/>
        <w:t>This Part applies in relation to any gas plant constructed after the commencement of these regulations.</w:t>
      </w:r>
    </w:p>
    <w:p>
      <w:pPr>
        <w:pStyle w:val="Heading5"/>
      </w:pPr>
      <w:bookmarkStart w:id="136" w:name="_Toc482683080"/>
      <w:bookmarkStart w:id="137" w:name="_Toc187134369"/>
      <w:r>
        <w:rPr>
          <w:rStyle w:val="CharSectno"/>
        </w:rPr>
        <w:t>49</w:t>
      </w:r>
      <w:r>
        <w:t>.</w:t>
      </w:r>
      <w:r>
        <w:tab/>
        <w:t>Plant operator to submit safety case</w:t>
      </w:r>
      <w:bookmarkEnd w:id="136"/>
      <w:bookmarkEnd w:id="137"/>
    </w:p>
    <w:p>
      <w:pPr>
        <w:pStyle w:val="Subsection"/>
      </w:pPr>
      <w:r>
        <w:tab/>
        <w:t>(1)</w:t>
      </w:r>
      <w:r>
        <w:tab/>
        <w:t>A plant operator must submit a safety case to the Director for the gas plant of the plant operator.</w:t>
      </w:r>
    </w:p>
    <w:p>
      <w:pPr>
        <w:pStyle w:val="Subsection"/>
      </w:pPr>
      <w:r>
        <w:tab/>
        <w:t>(2)</w:t>
      </w:r>
      <w:r>
        <w:tab/>
        <w:t>A safety case submitted under subregulation (1) is to comply with Schedule </w:t>
      </w:r>
      <w:bookmarkStart w:id="138" w:name="_Hlt480170000"/>
      <w:r>
        <w:t>3</w:t>
      </w:r>
      <w:bookmarkEnd w:id="138"/>
      <w:r>
        <w:t>.</w:t>
      </w:r>
    </w:p>
    <w:p>
      <w:pPr>
        <w:pStyle w:val="Heading5"/>
      </w:pPr>
      <w:bookmarkStart w:id="139" w:name="_Toc482683081"/>
      <w:bookmarkStart w:id="140" w:name="_Toc187134370"/>
      <w:r>
        <w:rPr>
          <w:rStyle w:val="CharSectno"/>
        </w:rPr>
        <w:t>50</w:t>
      </w:r>
      <w:r>
        <w:t>.</w:t>
      </w:r>
      <w:r>
        <w:tab/>
        <w:t>Exemption</w:t>
      </w:r>
      <w:bookmarkEnd w:id="139"/>
      <w:bookmarkEnd w:id="140"/>
    </w:p>
    <w:p>
      <w:pPr>
        <w:pStyle w:val="Subsection"/>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141" w:name="_Toc482683082"/>
      <w:bookmarkStart w:id="142" w:name="_Toc187134371"/>
      <w:r>
        <w:rPr>
          <w:rStyle w:val="CharSectno"/>
        </w:rPr>
        <w:t>51</w:t>
      </w:r>
      <w:r>
        <w:t>.</w:t>
      </w:r>
      <w:r>
        <w:tab/>
        <w:t>Guidelines</w:t>
      </w:r>
      <w:bookmarkEnd w:id="141"/>
      <w:bookmarkEnd w:id="142"/>
    </w:p>
    <w:p>
      <w:pPr>
        <w:pStyle w:val="Subsection"/>
      </w:pPr>
      <w:r>
        <w:tab/>
      </w:r>
      <w:r>
        <w:tab/>
        <w:t>The Director may from time to time issue guidelines to assist in the preparation of a safety case.</w:t>
      </w:r>
    </w:p>
    <w:p>
      <w:pPr>
        <w:pStyle w:val="Heading5"/>
      </w:pPr>
      <w:bookmarkStart w:id="143" w:name="_Toc482683083"/>
      <w:bookmarkStart w:id="144" w:name="_Toc187134372"/>
      <w:r>
        <w:rPr>
          <w:rStyle w:val="CharSectno"/>
        </w:rPr>
        <w:t>52</w:t>
      </w:r>
      <w:r>
        <w:t>.</w:t>
      </w:r>
      <w:r>
        <w:tab/>
        <w:t>Nomination of person to perform auditing role</w:t>
      </w:r>
      <w:bookmarkEnd w:id="143"/>
      <w:bookmarkEnd w:id="144"/>
    </w:p>
    <w:p>
      <w:pPr>
        <w:pStyle w:val="Subsection"/>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145" w:name="_Toc482683084"/>
      <w:bookmarkStart w:id="146" w:name="_Toc187134373"/>
      <w:r>
        <w:rPr>
          <w:rStyle w:val="CharSectno"/>
        </w:rPr>
        <w:t>53</w:t>
      </w:r>
      <w:r>
        <w:t>.</w:t>
      </w:r>
      <w:r>
        <w:tab/>
        <w:t>Certification of safety case</w:t>
      </w:r>
      <w:bookmarkEnd w:id="145"/>
      <w:bookmarkEnd w:id="146"/>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147" w:name="_Toc482683085"/>
      <w:bookmarkStart w:id="148" w:name="_Toc187134374"/>
      <w:r>
        <w:rPr>
          <w:rStyle w:val="CharSectno"/>
        </w:rPr>
        <w:t>54</w:t>
      </w:r>
      <w:r>
        <w:t>.</w:t>
      </w:r>
      <w:r>
        <w:tab/>
        <w:t>Acceptance or rejection of safety case</w:t>
      </w:r>
      <w:bookmarkEnd w:id="147"/>
      <w:bookmarkEnd w:id="148"/>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149" w:name="_Toc482683086"/>
      <w:bookmarkStart w:id="150" w:name="_Toc187134375"/>
      <w:r>
        <w:rPr>
          <w:rStyle w:val="CharSectno"/>
        </w:rPr>
        <w:t>55</w:t>
      </w:r>
      <w:r>
        <w:t>.</w:t>
      </w:r>
      <w:r>
        <w:tab/>
        <w:t>Submission of modified safety case</w:t>
      </w:r>
      <w:bookmarkEnd w:id="149"/>
      <w:bookmarkEnd w:id="150"/>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151" w:name="_Toc482683087"/>
      <w:bookmarkStart w:id="152" w:name="_Toc187134376"/>
      <w:r>
        <w:rPr>
          <w:rStyle w:val="CharSectno"/>
        </w:rPr>
        <w:t>56</w:t>
      </w:r>
      <w:r>
        <w:t>.</w:t>
      </w:r>
      <w:r>
        <w:tab/>
        <w:t>Acceptance or rejection of modified safety case</w:t>
      </w:r>
      <w:bookmarkEnd w:id="151"/>
      <w:bookmarkEnd w:id="152"/>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153" w:name="_Toc482683088"/>
      <w:bookmarkStart w:id="154" w:name="_Toc187134377"/>
      <w:r>
        <w:rPr>
          <w:rStyle w:val="CharSectno"/>
        </w:rPr>
        <w:t>57</w:t>
      </w:r>
      <w:r>
        <w:t>.</w:t>
      </w:r>
      <w:r>
        <w:tab/>
        <w:t>Director may determine safety case for gas plant</w:t>
      </w:r>
      <w:bookmarkEnd w:id="153"/>
      <w:bookmarkEnd w:id="154"/>
    </w:p>
    <w:p>
      <w:pPr>
        <w:pStyle w:val="Subsection"/>
        <w:keepNext/>
        <w:keepLines/>
      </w:pPr>
      <w:r>
        <w:tab/>
        <w:t>(1)</w:t>
      </w:r>
      <w:r>
        <w:tab/>
        <w:t xml:space="preserve">The Director may determine the safety case (the </w:t>
      </w:r>
      <w:r>
        <w:rPr>
          <w:b/>
        </w:rPr>
        <w:t>“</w:t>
      </w:r>
      <w:r>
        <w:rPr>
          <w:rStyle w:val="CharDefText"/>
        </w:rPr>
        <w:t>determined safety case</w:t>
      </w:r>
      <w:r>
        <w:rPr>
          <w:b/>
        </w:rPr>
        <w:t>”</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155" w:name="_Toc482683089"/>
      <w:bookmarkStart w:id="156" w:name="_Toc187134378"/>
      <w:r>
        <w:rPr>
          <w:rStyle w:val="CharSectno"/>
        </w:rPr>
        <w:t>58</w:t>
      </w:r>
      <w:r>
        <w:t>.</w:t>
      </w:r>
      <w:r>
        <w:tab/>
        <w:t>When accepted safety case has effect</w:t>
      </w:r>
      <w:bookmarkEnd w:id="155"/>
      <w:bookmarkEnd w:id="156"/>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157" w:name="_Toc482683090"/>
      <w:bookmarkStart w:id="158" w:name="_Toc187134379"/>
      <w:r>
        <w:rPr>
          <w:rStyle w:val="CharSectno"/>
        </w:rPr>
        <w:t>59</w:t>
      </w:r>
      <w:r>
        <w:t>.</w:t>
      </w:r>
      <w:r>
        <w:tab/>
        <w:t>Accepted safety case required for operation of gas plant</w:t>
      </w:r>
      <w:bookmarkEnd w:id="157"/>
      <w:bookmarkEnd w:id="158"/>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159" w:name="_Toc482683091"/>
      <w:bookmarkStart w:id="160" w:name="_Toc187134380"/>
      <w:r>
        <w:rPr>
          <w:rStyle w:val="CharSectno"/>
        </w:rPr>
        <w:t>60</w:t>
      </w:r>
      <w:r>
        <w:t>.</w:t>
      </w:r>
      <w:r>
        <w:tab/>
        <w:t>Compliance with accepted safety case</w:t>
      </w:r>
      <w:bookmarkEnd w:id="159"/>
      <w:bookmarkEnd w:id="160"/>
    </w:p>
    <w:p>
      <w:pPr>
        <w:pStyle w:val="Subsection"/>
      </w:pPr>
      <w:r>
        <w:tab/>
        <w:t>(1)</w:t>
      </w:r>
      <w:r>
        <w:tab/>
        <w:t>In this regulation —</w:t>
      </w:r>
    </w:p>
    <w:p>
      <w:pPr>
        <w:pStyle w:val="Defstart"/>
      </w:pPr>
      <w:r>
        <w:tab/>
      </w:r>
      <w:r>
        <w:rPr>
          <w:b/>
        </w:rPr>
        <w:t>“</w:t>
      </w:r>
      <w:r>
        <w:rPr>
          <w:rStyle w:val="CharDefText"/>
        </w:rPr>
        <w:t>prescribed activity</w:t>
      </w:r>
      <w:r>
        <w:rPr>
          <w:b/>
        </w:rPr>
        <w:t>”</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161" w:name="_Toc482683092"/>
      <w:bookmarkStart w:id="162" w:name="_Toc187134381"/>
      <w:r>
        <w:rPr>
          <w:rStyle w:val="CharSectno"/>
        </w:rPr>
        <w:t>61</w:t>
      </w:r>
      <w:r>
        <w:t>.</w:t>
      </w:r>
      <w:r>
        <w:tab/>
        <w:t>Periodical audit</w:t>
      </w:r>
      <w:bookmarkEnd w:id="161"/>
      <w:bookmarkEnd w:id="162"/>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b/>
        </w:rPr>
        <w:t>“</w:t>
      </w:r>
      <w:r>
        <w:rPr>
          <w:rStyle w:val="CharDefText"/>
        </w:rPr>
        <w:t>auditing period</w:t>
      </w:r>
      <w:r>
        <w:rPr>
          <w:b/>
        </w:rPr>
        <w:t>”</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163" w:name="_Toc482683093"/>
      <w:bookmarkStart w:id="164" w:name="_Toc187134382"/>
      <w:r>
        <w:rPr>
          <w:rStyle w:val="CharSectno"/>
        </w:rPr>
        <w:t>62</w:t>
      </w:r>
      <w:r>
        <w:t>.</w:t>
      </w:r>
      <w:r>
        <w:tab/>
        <w:t>Amendment of accepted safety case</w:t>
      </w:r>
      <w:bookmarkEnd w:id="163"/>
      <w:bookmarkEnd w:id="164"/>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165" w:name="_Toc482683094"/>
      <w:bookmarkStart w:id="166" w:name="_Toc187134383"/>
      <w:r>
        <w:rPr>
          <w:rStyle w:val="CharSectno"/>
        </w:rPr>
        <w:t>63</w:t>
      </w:r>
      <w:r>
        <w:t>.</w:t>
      </w:r>
      <w:r>
        <w:tab/>
        <w:t>Director may require amendment of accepted safety case</w:t>
      </w:r>
      <w:bookmarkEnd w:id="165"/>
      <w:bookmarkEnd w:id="166"/>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b/>
        </w:rPr>
        <w:t>“</w:t>
      </w:r>
      <w:r>
        <w:rPr>
          <w:rStyle w:val="CharDefText"/>
        </w:rPr>
        <w:t>specified</w:t>
      </w:r>
      <w:r>
        <w:rPr>
          <w:b/>
        </w:rPr>
        <w:t>”</w:t>
      </w:r>
      <w:r>
        <w:t xml:space="preserve"> means specified in the notice concerned.</w:t>
      </w:r>
    </w:p>
    <w:p>
      <w:pPr>
        <w:pStyle w:val="Heading5"/>
      </w:pPr>
      <w:bookmarkStart w:id="167" w:name="_Toc482683095"/>
      <w:bookmarkStart w:id="168" w:name="_Toc187134384"/>
      <w:r>
        <w:rPr>
          <w:rStyle w:val="CharSectno"/>
        </w:rPr>
        <w:t>64</w:t>
      </w:r>
      <w:r>
        <w:t>.</w:t>
      </w:r>
      <w:r>
        <w:tab/>
        <w:t>Records</w:t>
      </w:r>
      <w:bookmarkEnd w:id="167"/>
      <w:bookmarkEnd w:id="168"/>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169" w:name="_Toc187134385"/>
      <w:r>
        <w:rPr>
          <w:rStyle w:val="CharPartNo"/>
        </w:rPr>
        <w:t>Part 6</w:t>
      </w:r>
      <w:r>
        <w:rPr>
          <w:rStyle w:val="CharDivNo"/>
        </w:rPr>
        <w:t xml:space="preserve"> </w:t>
      </w:r>
      <w:r>
        <w:t>—</w:t>
      </w:r>
      <w:r>
        <w:rPr>
          <w:rStyle w:val="CharDivText"/>
        </w:rPr>
        <w:t xml:space="preserve"> </w:t>
      </w:r>
      <w:r>
        <w:rPr>
          <w:rStyle w:val="CharPartText"/>
        </w:rPr>
        <w:t>Review of decisions</w:t>
      </w:r>
      <w:bookmarkEnd w:id="169"/>
    </w:p>
    <w:p>
      <w:pPr>
        <w:pStyle w:val="Heading5"/>
      </w:pPr>
      <w:bookmarkStart w:id="170" w:name="_Toc482683096"/>
      <w:bookmarkStart w:id="171" w:name="_Toc187134386"/>
      <w:r>
        <w:rPr>
          <w:rStyle w:val="CharSectno"/>
        </w:rPr>
        <w:t>65</w:t>
      </w:r>
      <w:r>
        <w:t>.</w:t>
      </w:r>
      <w:r>
        <w:tab/>
        <w:t>Definitions</w:t>
      </w:r>
      <w:bookmarkEnd w:id="170"/>
      <w:bookmarkEnd w:id="171"/>
    </w:p>
    <w:p>
      <w:pPr>
        <w:pStyle w:val="Subsection"/>
      </w:pPr>
      <w:r>
        <w:tab/>
      </w:r>
      <w:r>
        <w:tab/>
        <w:t>In this Part —</w:t>
      </w:r>
    </w:p>
    <w:p>
      <w:pPr>
        <w:pStyle w:val="Defstart"/>
      </w:pPr>
      <w:r>
        <w:tab/>
      </w:r>
      <w:r>
        <w:rPr>
          <w:b/>
        </w:rPr>
        <w:t>“</w:t>
      </w:r>
      <w:r>
        <w:rPr>
          <w:rStyle w:val="CharDefText"/>
        </w:rPr>
        <w:t>application for review</w:t>
      </w:r>
      <w:r>
        <w:rPr>
          <w:b/>
        </w:rPr>
        <w:t>”</w:t>
      </w:r>
      <w:r>
        <w:t xml:space="preserve"> means an application made under regulation 67(1);</w:t>
      </w:r>
    </w:p>
    <w:p>
      <w:pPr>
        <w:pStyle w:val="Defstart"/>
      </w:pPr>
      <w:r>
        <w:t xml:space="preserve"> </w:t>
      </w:r>
      <w:r>
        <w:tab/>
      </w:r>
      <w:r>
        <w:rPr>
          <w:b/>
        </w:rPr>
        <w:t>“</w:t>
      </w:r>
      <w:r>
        <w:rPr>
          <w:rStyle w:val="CharDefText"/>
        </w:rPr>
        <w:t>review panel</w:t>
      </w:r>
      <w:r>
        <w:rPr>
          <w:b/>
        </w:rPr>
        <w:t>”</w:t>
      </w:r>
      <w:r>
        <w:t xml:space="preserve"> means a panel mentioned in regulation </w:t>
      </w:r>
      <w:bookmarkStart w:id="172" w:name="_Hlt461851302"/>
      <w:r>
        <w:t>68</w:t>
      </w:r>
      <w:bookmarkEnd w:id="172"/>
      <w:r>
        <w:t>.</w:t>
      </w:r>
    </w:p>
    <w:p>
      <w:pPr>
        <w:pStyle w:val="Heading5"/>
      </w:pPr>
      <w:bookmarkStart w:id="173" w:name="_Toc482683097"/>
      <w:bookmarkStart w:id="174" w:name="_Toc187134387"/>
      <w:r>
        <w:rPr>
          <w:rStyle w:val="CharSectno"/>
        </w:rPr>
        <w:t>66</w:t>
      </w:r>
      <w:r>
        <w:t>.</w:t>
      </w:r>
      <w:r>
        <w:tab/>
        <w:t>Decisions to which this Part applies</w:t>
      </w:r>
      <w:bookmarkEnd w:id="173"/>
      <w:bookmarkEnd w:id="174"/>
    </w:p>
    <w:p>
      <w:pPr>
        <w:pStyle w:val="Subsection"/>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175" w:name="_Hlt461851182"/>
      <w:r>
        <w:t>32(2)</w:t>
      </w:r>
      <w:bookmarkEnd w:id="175"/>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176" w:name="_Toc482683098"/>
      <w:bookmarkStart w:id="177" w:name="_Toc187134388"/>
      <w:r>
        <w:rPr>
          <w:rStyle w:val="CharSectno"/>
        </w:rPr>
        <w:t>67</w:t>
      </w:r>
      <w:r>
        <w:t>.</w:t>
      </w:r>
      <w:r>
        <w:tab/>
        <w:t>Application for review</w:t>
      </w:r>
      <w:bookmarkEnd w:id="176"/>
      <w:bookmarkEnd w:id="177"/>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178" w:name="_Hlt461851314"/>
      <w:bookmarkStart w:id="179" w:name="_Toc482683099"/>
      <w:bookmarkStart w:id="180" w:name="_Toc187134389"/>
      <w:bookmarkEnd w:id="178"/>
      <w:r>
        <w:rPr>
          <w:rStyle w:val="CharSectno"/>
        </w:rPr>
        <w:t>68</w:t>
      </w:r>
      <w:r>
        <w:t>.</w:t>
      </w:r>
      <w:r>
        <w:tab/>
        <w:t>Review panel</w:t>
      </w:r>
      <w:bookmarkEnd w:id="179"/>
      <w:bookmarkEnd w:id="180"/>
    </w:p>
    <w:p>
      <w:pPr>
        <w:pStyle w:val="Subsection"/>
      </w:pPr>
      <w:r>
        <w:tab/>
      </w:r>
      <w:r>
        <w:tab/>
        <w:t>The Director may convene a panel of 3 independent professional engineers to advise the Director in relation to an application for review.</w:t>
      </w:r>
    </w:p>
    <w:p>
      <w:pPr>
        <w:pStyle w:val="Heading5"/>
      </w:pPr>
      <w:bookmarkStart w:id="181" w:name="_Toc482683100"/>
      <w:bookmarkStart w:id="182" w:name="_Toc187134390"/>
      <w:r>
        <w:rPr>
          <w:rStyle w:val="CharSectno"/>
        </w:rPr>
        <w:t>69</w:t>
      </w:r>
      <w:r>
        <w:t>.</w:t>
      </w:r>
      <w:r>
        <w:tab/>
        <w:t>Procedure on review</w:t>
      </w:r>
      <w:bookmarkEnd w:id="181"/>
      <w:bookmarkEnd w:id="182"/>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183" w:name="_Toc482683101"/>
      <w:bookmarkStart w:id="184" w:name="_Toc187134391"/>
      <w:r>
        <w:rPr>
          <w:rStyle w:val="CharSectno"/>
        </w:rPr>
        <w:t>70</w:t>
      </w:r>
      <w:r>
        <w:t>.</w:t>
      </w:r>
      <w:r>
        <w:tab/>
        <w:t>Costs</w:t>
      </w:r>
      <w:bookmarkEnd w:id="183"/>
      <w:bookmarkEnd w:id="184"/>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bookmarkStart w:id="185" w:name="_Toc187134392"/>
      <w:r>
        <w:rPr>
          <w:rStyle w:val="CharPartNo"/>
        </w:rPr>
        <w:t>Part 7</w:t>
      </w:r>
      <w:r>
        <w:rPr>
          <w:rStyle w:val="CharDivNo"/>
        </w:rPr>
        <w:t xml:space="preserve"> </w:t>
      </w:r>
      <w:r>
        <w:t>—</w:t>
      </w:r>
      <w:r>
        <w:rPr>
          <w:rStyle w:val="CharDivText"/>
        </w:rPr>
        <w:t xml:space="preserve"> </w:t>
      </w:r>
      <w:r>
        <w:rPr>
          <w:rStyle w:val="CharPartText"/>
        </w:rPr>
        <w:t>Repeal</w:t>
      </w:r>
      <w:bookmarkEnd w:id="185"/>
    </w:p>
    <w:p>
      <w:pPr>
        <w:pStyle w:val="Heading5"/>
      </w:pPr>
      <w:bookmarkStart w:id="186" w:name="_Toc482683102"/>
      <w:bookmarkStart w:id="187" w:name="_Toc187134393"/>
      <w:r>
        <w:rPr>
          <w:rStyle w:val="CharSectno"/>
        </w:rPr>
        <w:t>71</w:t>
      </w:r>
      <w:r>
        <w:t>.</w:t>
      </w:r>
      <w:r>
        <w:tab/>
        <w:t>Repeal</w:t>
      </w:r>
      <w:bookmarkEnd w:id="186"/>
      <w:bookmarkEnd w:id="187"/>
    </w:p>
    <w:p>
      <w:pPr>
        <w:pStyle w:val="Subsection"/>
      </w:pPr>
      <w:r>
        <w:tab/>
      </w:r>
      <w:r>
        <w:tab/>
        <w:t xml:space="preserve">The </w:t>
      </w:r>
      <w:r>
        <w:rPr>
          <w:i/>
        </w:rPr>
        <w:t>Gas Standards (Natural Gas) Regulations 1999</w:t>
      </w:r>
      <w:r>
        <w:t xml:space="preserve"> are repealed.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88" w:name="_Toc187134394"/>
      <w:r>
        <w:rPr>
          <w:rStyle w:val="CharSchNo"/>
        </w:rPr>
        <w:t>Schedule 1</w:t>
      </w:r>
      <w:r>
        <w:t xml:space="preserve"> — </w:t>
      </w:r>
      <w:r>
        <w:rPr>
          <w:rStyle w:val="CharSchText"/>
        </w:rPr>
        <w:t>Standards and codes containing provisions compliance with which may be evidence</w:t>
      </w:r>
      <w:bookmarkEnd w:id="188"/>
    </w:p>
    <w:p>
      <w:pPr>
        <w:pStyle w:val="yShoulderClause"/>
      </w:pPr>
      <w:r>
        <w:t xml:space="preserve">[r. 19(1)] </w:t>
      </w:r>
    </w:p>
    <w:p>
      <w:pPr>
        <w:pStyle w:val="yNumberedItem"/>
      </w:pPr>
      <w:r>
        <w:rPr>
          <w:i/>
          <w:iCs/>
        </w:rPr>
        <w:tab/>
        <w:t>Utility Providers Code of Practice for Western Australia</w:t>
      </w:r>
      <w:r>
        <w:t xml:space="preserve"> produced by the Utility Providers Services Committee</w:t>
      </w:r>
    </w:p>
    <w:p>
      <w:pPr>
        <w:pStyle w:val="yNumberedItem"/>
      </w:pPr>
      <w:r>
        <w:tab/>
      </w:r>
      <w:r>
        <w:rPr>
          <w:i/>
          <w:iCs/>
        </w:rPr>
        <w:t>Manual of Practice for Provision of Subdivision Services in the Perth Metropolitan Region</w:t>
      </w:r>
      <w:r>
        <w:t xml:space="preserve"> published by the Urban Development Institute of Australia</w:t>
      </w:r>
    </w:p>
    <w:p>
      <w:pPr>
        <w:pStyle w:val="yNumberedItem"/>
        <w:rPr>
          <w:i/>
          <w:iCs/>
        </w:rPr>
      </w:pPr>
      <w:r>
        <w:tab/>
      </w:r>
      <w:r>
        <w:rPr>
          <w:i/>
          <w:iCs/>
        </w:rPr>
        <w:t>Railways of Australia Code for the Installation of Other Parties’ Services &amp; Pipelines within Railway Boundaries</w:t>
      </w:r>
    </w:p>
    <w:p>
      <w:pPr>
        <w:pStyle w:val="yNumberedItem"/>
      </w:pPr>
      <w:r>
        <w:tab/>
      </w:r>
      <w:r>
        <w:rPr>
          <w:i/>
          <w:iCs/>
        </w:rPr>
        <w:t>Planning of gas distribution systems operating at pressures not exceeding 7 bar (IGE/GLI)</w:t>
      </w:r>
      <w:r>
        <w:t xml:space="preserve"> published by the Institution of Gas Engineers</w:t>
      </w:r>
    </w:p>
    <w:p>
      <w:pPr>
        <w:pStyle w:val="yNumberedItem"/>
      </w:pPr>
      <w:r>
        <w:tab/>
      </w:r>
      <w:r>
        <w:rPr>
          <w:i/>
          <w:iCs/>
        </w:rPr>
        <w:t xml:space="preserve">Recommendations on transmission and distribution practice, Distribution mains (IGE/TD/3) </w:t>
      </w:r>
      <w:r>
        <w:t>published by the Institution of Gas Engineers</w:t>
      </w:r>
    </w:p>
    <w:p>
      <w:pPr>
        <w:pStyle w:val="yNumberedItem"/>
      </w:pPr>
      <w:r>
        <w:tab/>
      </w:r>
      <w:r>
        <w:rPr>
          <w:i/>
          <w:iCs/>
        </w:rPr>
        <w:t>Venting of natural gas (IGE/SR/23)</w:t>
      </w:r>
      <w:r>
        <w:t xml:space="preserve"> published by the Institution of Gas Engineers</w:t>
      </w:r>
    </w:p>
    <w:p>
      <w:pPr>
        <w:pStyle w:val="yNumberedItem"/>
      </w:pPr>
      <w:r>
        <w:tab/>
        <w:t>AS/NZS 1020</w:t>
      </w:r>
      <w:bookmarkStart w:id="189" w:name="_Hlt461870689"/>
      <w:bookmarkEnd w:id="189"/>
      <w:r>
        <w:t xml:space="preserve"> </w:t>
      </w:r>
      <w:r>
        <w:rPr>
          <w:i/>
          <w:iCs/>
        </w:rPr>
        <w:t>The control of undesirable static electricity</w:t>
      </w:r>
    </w:p>
    <w:p>
      <w:pPr>
        <w:pStyle w:val="yNumberedItem"/>
      </w:pPr>
      <w:r>
        <w:tab/>
        <w:t>AS 2832.1 —</w:t>
      </w:r>
      <w:r>
        <w:rPr>
          <w:i/>
          <w:iCs/>
        </w:rPr>
        <w:t>1989 Guide to the cathodic protection of metals</w:t>
      </w:r>
    </w:p>
    <w:p>
      <w:pPr>
        <w:pStyle w:val="yNumberedItem"/>
      </w:pPr>
      <w:r>
        <w:tab/>
        <w:t>AG 503 — </w:t>
      </w:r>
      <w:r>
        <w:rPr>
          <w:i/>
          <w:iCs/>
        </w:rPr>
        <w:t>1976 Code of Recommended Practice for Corrosion Control in Buried and Submerged Steel Piping Systems</w:t>
      </w:r>
    </w:p>
    <w:p>
      <w:pPr>
        <w:pStyle w:val="yFootnotesection"/>
      </w:pPr>
      <w:r>
        <w:tab/>
        <w:t>[Schedule 1 amended in Gazette 3 August 2001 p. 3969.]</w:t>
      </w:r>
    </w:p>
    <w:p>
      <w:pPr>
        <w:pStyle w:val="yScheduleHeading"/>
      </w:pPr>
      <w:bookmarkStart w:id="190" w:name="_Toc187134395"/>
      <w:r>
        <w:rPr>
          <w:rStyle w:val="CharSchNo"/>
        </w:rPr>
        <w:t>Schedule 2</w:t>
      </w:r>
      <w:r>
        <w:t xml:space="preserve"> — </w:t>
      </w:r>
      <w:r>
        <w:rPr>
          <w:rStyle w:val="CharSchText"/>
        </w:rPr>
        <w:t>Standards and codes containing obligatory provisions for network operators</w:t>
      </w:r>
      <w:bookmarkEnd w:id="190"/>
    </w:p>
    <w:p>
      <w:pPr>
        <w:pStyle w:val="yShoulderClause"/>
      </w:pPr>
      <w:r>
        <w:t>[r. 24(1)]</w:t>
      </w:r>
    </w:p>
    <w:tbl>
      <w:tblPr>
        <w:tblW w:w="0" w:type="auto"/>
        <w:tblLayout w:type="fixed"/>
        <w:tblLook w:val="0000" w:firstRow="0" w:lastRow="0" w:firstColumn="0" w:lastColumn="0" w:noHBand="0" w:noVBand="0"/>
      </w:tblPr>
      <w:tblGrid>
        <w:gridCol w:w="2660"/>
        <w:gridCol w:w="4654"/>
      </w:tblGrid>
      <w:tr>
        <w:tc>
          <w:tcPr>
            <w:tcW w:w="2660" w:type="dxa"/>
          </w:tcPr>
          <w:p>
            <w:pPr>
              <w:pStyle w:val="yTable"/>
            </w:pPr>
            <w:r>
              <w:t>AS 1596 — 1997</w:t>
            </w:r>
          </w:p>
        </w:tc>
        <w:tc>
          <w:tcPr>
            <w:tcW w:w="4654" w:type="dxa"/>
          </w:tcPr>
          <w:p>
            <w:pPr>
              <w:pStyle w:val="yTable"/>
              <w:rPr>
                <w:i/>
              </w:rPr>
            </w:pPr>
            <w:r>
              <w:rPr>
                <w:i/>
              </w:rPr>
              <w:t>LP Gas — Storage and handling</w:t>
            </w:r>
          </w:p>
        </w:tc>
      </w:tr>
      <w:tr>
        <w:tc>
          <w:tcPr>
            <w:tcW w:w="2660" w:type="dxa"/>
          </w:tcPr>
          <w:p>
            <w:pPr>
              <w:pStyle w:val="yTable"/>
            </w:pPr>
            <w:r>
              <w:t>AS 1697 — 1981</w:t>
            </w:r>
          </w:p>
        </w:tc>
        <w:tc>
          <w:tcPr>
            <w:tcW w:w="4654" w:type="dxa"/>
          </w:tcPr>
          <w:p>
            <w:pPr>
              <w:pStyle w:val="yTable"/>
              <w:rPr>
                <w:i/>
              </w:rPr>
            </w:pPr>
            <w:r>
              <w:rPr>
                <w:i/>
              </w:rPr>
              <w:t>SAA Gas Pipeline Code</w:t>
            </w:r>
          </w:p>
        </w:tc>
      </w:tr>
      <w:tr>
        <w:tc>
          <w:tcPr>
            <w:tcW w:w="2660" w:type="dxa"/>
          </w:tcPr>
          <w:p>
            <w:pPr>
              <w:pStyle w:val="yTable"/>
            </w:pPr>
            <w:r>
              <w:t>AS 2430.1 — 1991</w:t>
            </w:r>
          </w:p>
        </w:tc>
        <w:tc>
          <w:tcPr>
            <w:tcW w:w="4654" w:type="dxa"/>
          </w:tcPr>
          <w:p>
            <w:pPr>
              <w:pStyle w:val="yTable"/>
              <w:rPr>
                <w:i/>
              </w:rPr>
            </w:pPr>
            <w:r>
              <w:rPr>
                <w:i/>
              </w:rPr>
              <w:t>Classification of hazardous areas, Part 1 Explosive Gas Atmospheres</w:t>
            </w:r>
          </w:p>
        </w:tc>
      </w:tr>
      <w:tr>
        <w:tc>
          <w:tcPr>
            <w:tcW w:w="2660" w:type="dxa"/>
          </w:tcPr>
          <w:p>
            <w:pPr>
              <w:pStyle w:val="yTable"/>
            </w:pPr>
            <w:r>
              <w:t>AS 2430.3 — 1991</w:t>
            </w:r>
          </w:p>
        </w:tc>
        <w:tc>
          <w:tcPr>
            <w:tcW w:w="4654" w:type="dxa"/>
          </w:tcPr>
          <w:p>
            <w:pPr>
              <w:pStyle w:val="yTable"/>
              <w:rPr>
                <w:b/>
                <w:i/>
                <w:sz w:val="20"/>
              </w:rPr>
            </w:pPr>
            <w:r>
              <w:rPr>
                <w:i/>
              </w:rPr>
              <w:t>Classification of hazardous areas, Part 3</w:t>
            </w:r>
          </w:p>
        </w:tc>
      </w:tr>
      <w:tr>
        <w:tc>
          <w:tcPr>
            <w:tcW w:w="2660" w:type="dxa"/>
          </w:tcPr>
          <w:p>
            <w:pPr>
              <w:pStyle w:val="yTable"/>
            </w:pPr>
            <w:r>
              <w:t>AS 2885.1 — 1997</w:t>
            </w:r>
          </w:p>
        </w:tc>
        <w:tc>
          <w:tcPr>
            <w:tcW w:w="4654" w:type="dxa"/>
          </w:tcPr>
          <w:p>
            <w:pPr>
              <w:pStyle w:val="yTable"/>
              <w:rPr>
                <w:i/>
              </w:rPr>
            </w:pPr>
            <w:r>
              <w:rPr>
                <w:i/>
              </w:rPr>
              <w:t>Pipelines — Gas and liquid petroleum,</w:t>
            </w:r>
          </w:p>
          <w:p>
            <w:pPr>
              <w:pStyle w:val="yTable"/>
              <w:spacing w:before="0"/>
              <w:rPr>
                <w:i/>
              </w:rPr>
            </w:pPr>
            <w:r>
              <w:rPr>
                <w:i/>
              </w:rPr>
              <w:t>Part 1: Design and Construction</w:t>
            </w:r>
          </w:p>
        </w:tc>
      </w:tr>
      <w:tr>
        <w:tc>
          <w:tcPr>
            <w:tcW w:w="2660" w:type="dxa"/>
          </w:tcPr>
          <w:p>
            <w:pPr>
              <w:pStyle w:val="yTable"/>
            </w:pPr>
            <w:r>
              <w:t>AS 2885.2 — 1995</w:t>
            </w:r>
          </w:p>
        </w:tc>
        <w:tc>
          <w:tcPr>
            <w:tcW w:w="4654" w:type="dxa"/>
          </w:tcPr>
          <w:p>
            <w:pPr>
              <w:pStyle w:val="yTable"/>
              <w:rPr>
                <w:i/>
              </w:rPr>
            </w:pPr>
            <w:r>
              <w:rPr>
                <w:i/>
              </w:rPr>
              <w:t>Pipelines — Gas and liquid petroleum,</w:t>
            </w:r>
          </w:p>
          <w:p>
            <w:pPr>
              <w:pStyle w:val="yTable"/>
              <w:spacing w:before="0"/>
              <w:rPr>
                <w:i/>
              </w:rPr>
            </w:pPr>
            <w:r>
              <w:rPr>
                <w:i/>
              </w:rPr>
              <w:t>Part 2: Welding</w:t>
            </w:r>
          </w:p>
        </w:tc>
      </w:tr>
      <w:tr>
        <w:tc>
          <w:tcPr>
            <w:tcW w:w="2660" w:type="dxa"/>
          </w:tcPr>
          <w:p>
            <w:pPr>
              <w:pStyle w:val="yTable"/>
            </w:pPr>
            <w:r>
              <w:t>AS 2885.3 — 1997</w:t>
            </w:r>
          </w:p>
        </w:tc>
        <w:tc>
          <w:tcPr>
            <w:tcW w:w="4654" w:type="dxa"/>
          </w:tcPr>
          <w:p>
            <w:pPr>
              <w:pStyle w:val="yTable"/>
              <w:rPr>
                <w:i/>
              </w:rPr>
            </w:pPr>
            <w:r>
              <w:rPr>
                <w:i/>
              </w:rPr>
              <w:t>Pipelines — Gas and liquid petroleum,</w:t>
            </w:r>
          </w:p>
          <w:p>
            <w:pPr>
              <w:pStyle w:val="yTable"/>
              <w:spacing w:before="0"/>
              <w:rPr>
                <w:i/>
              </w:rPr>
            </w:pPr>
            <w:r>
              <w:rPr>
                <w:i/>
              </w:rPr>
              <w:t>Part 3: Operations and Maintenance</w:t>
            </w:r>
          </w:p>
        </w:tc>
      </w:tr>
      <w:tr>
        <w:tc>
          <w:tcPr>
            <w:tcW w:w="2660" w:type="dxa"/>
          </w:tcPr>
          <w:p>
            <w:pPr>
              <w:pStyle w:val="yTable"/>
            </w:pPr>
            <w:r>
              <w:t>AS 3723 — 1989</w:t>
            </w:r>
          </w:p>
        </w:tc>
        <w:tc>
          <w:tcPr>
            <w:tcW w:w="4654" w:type="dxa"/>
          </w:tcPr>
          <w:p>
            <w:pPr>
              <w:pStyle w:val="yTable"/>
              <w:rPr>
                <w:i/>
              </w:rPr>
            </w:pPr>
            <w:r>
              <w:rPr>
                <w:i/>
              </w:rPr>
              <w:t>Installation and maintenance of plastic pipe systems for gas</w:t>
            </w:r>
          </w:p>
        </w:tc>
      </w:tr>
      <w:tr>
        <w:tc>
          <w:tcPr>
            <w:tcW w:w="2660" w:type="dxa"/>
          </w:tcPr>
          <w:p>
            <w:pPr>
              <w:pStyle w:val="yTable"/>
            </w:pPr>
            <w:r>
              <w:t>AG 603 — 1978</w:t>
            </w:r>
          </w:p>
        </w:tc>
        <w:tc>
          <w:tcPr>
            <w:tcW w:w="4654" w:type="dxa"/>
          </w:tcPr>
          <w:p>
            <w:pPr>
              <w:pStyle w:val="yTable"/>
              <w:rPr>
                <w:i/>
              </w:rPr>
            </w:pPr>
            <w:r>
              <w:rPr>
                <w:i/>
              </w:rPr>
              <w:t>Gas Distribution Code</w:t>
            </w:r>
          </w:p>
        </w:tc>
      </w:tr>
    </w:tbl>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91" w:name="_Toc187134396"/>
      <w:r>
        <w:rPr>
          <w:rStyle w:val="CharSchNo"/>
        </w:rPr>
        <w:t>Schedule 3</w:t>
      </w:r>
      <w:r>
        <w:t xml:space="preserve"> — </w:t>
      </w:r>
      <w:r>
        <w:rPr>
          <w:rStyle w:val="CharSchText"/>
        </w:rPr>
        <w:t>Requirements for gas plant safety case</w:t>
      </w:r>
      <w:bookmarkEnd w:id="191"/>
    </w:p>
    <w:p>
      <w:pPr>
        <w:pStyle w:val="yShoulderClause"/>
      </w:pPr>
      <w:r>
        <w:t>[r. 49(2)]</w:t>
      </w:r>
    </w:p>
    <w:p>
      <w:pPr>
        <w:pStyle w:val="yHeading2"/>
        <w:outlineLvl w:val="9"/>
      </w:pPr>
      <w:bookmarkStart w:id="192" w:name="_Toc187134397"/>
      <w:r>
        <w:rPr>
          <w:rStyle w:val="CharSDivNo"/>
        </w:rPr>
        <w:t>Part 1</w:t>
      </w:r>
      <w:r>
        <w:rPr>
          <w:rStyle w:val="CharDivNo"/>
        </w:rPr>
        <w:t xml:space="preserve"> </w:t>
      </w:r>
      <w:r>
        <w:t>—</w:t>
      </w:r>
      <w:r>
        <w:rPr>
          <w:rStyle w:val="CharDivText"/>
        </w:rPr>
        <w:t xml:space="preserve"> </w:t>
      </w:r>
      <w:r>
        <w:rPr>
          <w:rStyle w:val="CharSDivText"/>
        </w:rPr>
        <w:t>Preliminary</w:t>
      </w:r>
      <w:bookmarkEnd w:id="192"/>
    </w:p>
    <w:p>
      <w:pPr>
        <w:pStyle w:val="yHeading5"/>
        <w:outlineLvl w:val="9"/>
      </w:pPr>
      <w:bookmarkStart w:id="193" w:name="_Toc462719572"/>
      <w:bookmarkStart w:id="194" w:name="_Toc482683103"/>
      <w:r>
        <w:rPr>
          <w:rStyle w:val="CharSClsNo"/>
        </w:rPr>
        <w:t>1</w:t>
      </w:r>
      <w:r>
        <w:t>.</w:t>
      </w:r>
      <w:r>
        <w:tab/>
        <w:t>Definition</w:t>
      </w:r>
      <w:bookmarkEnd w:id="193"/>
      <w:bookmarkEnd w:id="194"/>
    </w:p>
    <w:p>
      <w:pPr>
        <w:pStyle w:val="ySubsection"/>
      </w:pPr>
      <w:r>
        <w:tab/>
      </w:r>
      <w:r>
        <w:tab/>
        <w:t>In this Schedule —</w:t>
      </w:r>
    </w:p>
    <w:p>
      <w:pPr>
        <w:pStyle w:val="yDefstart"/>
      </w:pPr>
      <w:r>
        <w:tab/>
      </w:r>
      <w:r>
        <w:rPr>
          <w:b/>
        </w:rPr>
        <w:t>“</w:t>
      </w:r>
      <w:r>
        <w:rPr>
          <w:rStyle w:val="CharDefText"/>
        </w:rPr>
        <w:t>gas incident</w:t>
      </w:r>
      <w:r>
        <w:rPr>
          <w:b/>
        </w:rPr>
        <w: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outlineLvl w:val="9"/>
      </w:pPr>
      <w:bookmarkStart w:id="195" w:name="_Toc462719573"/>
      <w:bookmarkStart w:id="196" w:name="_Toc482683104"/>
      <w:r>
        <w:rPr>
          <w:rStyle w:val="CharSClsNo"/>
        </w:rPr>
        <w:t>2</w:t>
      </w:r>
      <w:r>
        <w:t>.</w:t>
      </w:r>
      <w:r>
        <w:tab/>
        <w:t>Performance standards</w:t>
      </w:r>
      <w:bookmarkEnd w:id="195"/>
      <w:bookmarkEnd w:id="196"/>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outlineLvl w:val="9"/>
      </w:pPr>
      <w:bookmarkStart w:id="197" w:name="_Toc187134398"/>
      <w:r>
        <w:rPr>
          <w:rStyle w:val="CharSDivNo"/>
        </w:rPr>
        <w:t>Part 2</w:t>
      </w:r>
      <w:r>
        <w:rPr>
          <w:rStyle w:val="CharDivNo"/>
        </w:rPr>
        <w:t xml:space="preserve"> </w:t>
      </w:r>
      <w:r>
        <w:t>—</w:t>
      </w:r>
      <w:r>
        <w:rPr>
          <w:rStyle w:val="CharDivText"/>
        </w:rPr>
        <w:t xml:space="preserve"> </w:t>
      </w:r>
      <w:r>
        <w:rPr>
          <w:rStyle w:val="CharSDivText"/>
        </w:rPr>
        <w:t>Content of safety case</w:t>
      </w:r>
      <w:bookmarkEnd w:id="197"/>
    </w:p>
    <w:p>
      <w:pPr>
        <w:pStyle w:val="yHeading5"/>
        <w:outlineLvl w:val="9"/>
      </w:pPr>
      <w:bookmarkStart w:id="198" w:name="_Toc462719574"/>
      <w:bookmarkStart w:id="199" w:name="_Toc482683105"/>
      <w:r>
        <w:rPr>
          <w:rStyle w:val="CharSClsNo"/>
        </w:rPr>
        <w:t>3</w:t>
      </w:r>
      <w:r>
        <w:t>.</w:t>
      </w:r>
      <w:r>
        <w:tab/>
        <w:t>Person responsible for operation of gas plant</w:t>
      </w:r>
      <w:bookmarkEnd w:id="198"/>
      <w:bookmarkEnd w:id="199"/>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outlineLvl w:val="9"/>
      </w:pPr>
      <w:bookmarkStart w:id="200" w:name="_Toc462719575"/>
      <w:bookmarkStart w:id="201" w:name="_Toc482683106"/>
      <w:r>
        <w:rPr>
          <w:rStyle w:val="CharSClsNo"/>
        </w:rPr>
        <w:t>4</w:t>
      </w:r>
      <w:r>
        <w:t>.</w:t>
      </w:r>
      <w:r>
        <w:tab/>
        <w:t>Person responsible for safety case</w:t>
      </w:r>
      <w:bookmarkEnd w:id="200"/>
      <w:bookmarkEnd w:id="201"/>
    </w:p>
    <w:p>
      <w:pPr>
        <w:pStyle w:val="ySubsection"/>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outlineLvl w:val="9"/>
      </w:pPr>
      <w:bookmarkStart w:id="202" w:name="_Toc462719576"/>
      <w:bookmarkStart w:id="203" w:name="_Toc482683107"/>
      <w:r>
        <w:rPr>
          <w:rStyle w:val="CharSClsNo"/>
        </w:rPr>
        <w:t>5</w:t>
      </w:r>
      <w:r>
        <w:t>.</w:t>
      </w:r>
      <w:r>
        <w:tab/>
        <w:t>Plant description</w:t>
      </w:r>
      <w:bookmarkEnd w:id="202"/>
      <w:bookmarkEnd w:id="203"/>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outlineLvl w:val="9"/>
      </w:pPr>
      <w:bookmarkStart w:id="204" w:name="_Toc462719577"/>
      <w:bookmarkStart w:id="205" w:name="_Toc482683108"/>
      <w:r>
        <w:rPr>
          <w:rStyle w:val="CharSClsNo"/>
        </w:rPr>
        <w:t>6</w:t>
      </w:r>
      <w:r>
        <w:t>.</w:t>
      </w:r>
      <w:r>
        <w:tab/>
        <w:t>Formal safety assessment</w:t>
      </w:r>
      <w:bookmarkEnd w:id="204"/>
      <w:bookmarkEnd w:id="205"/>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outlineLvl w:val="9"/>
      </w:pPr>
      <w:bookmarkStart w:id="206" w:name="_Toc462719578"/>
      <w:bookmarkStart w:id="207" w:name="_Toc482683109"/>
      <w:r>
        <w:rPr>
          <w:rStyle w:val="CharSClsNo"/>
        </w:rPr>
        <w:t>7</w:t>
      </w:r>
      <w:r>
        <w:t>.</w:t>
      </w:r>
      <w:r>
        <w:tab/>
        <w:t>Safety management system</w:t>
      </w:r>
      <w:bookmarkEnd w:id="206"/>
      <w:bookmarkEnd w:id="207"/>
    </w:p>
    <w:p>
      <w:pPr>
        <w:pStyle w:val="ySubsection"/>
      </w:pPr>
      <w:r>
        <w:tab/>
      </w:r>
      <w:r>
        <w:tab/>
        <w:t>A safety case must specify, in accordance with Part 3, the safety management system followed or to be followed in relation to the gas plant.</w:t>
      </w:r>
    </w:p>
    <w:p>
      <w:pPr>
        <w:pStyle w:val="yHeading5"/>
        <w:outlineLvl w:val="9"/>
      </w:pPr>
      <w:bookmarkStart w:id="208" w:name="_Toc482683110"/>
      <w:r>
        <w:rPr>
          <w:rStyle w:val="CharSClsNo"/>
        </w:rPr>
        <w:t>8</w:t>
      </w:r>
      <w:r>
        <w:t>.</w:t>
      </w:r>
      <w:r>
        <w:tab/>
        <w:t>Reporting of gas incidents</w:t>
      </w:r>
      <w:bookmarkEnd w:id="208"/>
    </w:p>
    <w:p>
      <w:pPr>
        <w:pStyle w:val="ySubsection"/>
      </w:pPr>
      <w:r>
        <w:tab/>
      </w:r>
      <w:r>
        <w:tab/>
        <w:t>A safety case must specify the procedures to be followed by the plant operator for the reporting of gas incidents in relation to the gas plant.</w:t>
      </w:r>
    </w:p>
    <w:p>
      <w:pPr>
        <w:pStyle w:val="yHeading5"/>
        <w:outlineLvl w:val="9"/>
      </w:pPr>
      <w:bookmarkStart w:id="209" w:name="_Toc462719579"/>
      <w:bookmarkStart w:id="210" w:name="_Toc482683111"/>
      <w:r>
        <w:rPr>
          <w:rStyle w:val="CharSClsNo"/>
        </w:rPr>
        <w:t>9</w:t>
      </w:r>
      <w:r>
        <w:t>.</w:t>
      </w:r>
      <w:r>
        <w:tab/>
        <w:t>Address where records kept</w:t>
      </w:r>
      <w:bookmarkEnd w:id="209"/>
      <w:bookmarkEnd w:id="210"/>
    </w:p>
    <w:p>
      <w:pPr>
        <w:pStyle w:val="ySubsection"/>
      </w:pPr>
      <w:r>
        <w:tab/>
      </w:r>
      <w:r>
        <w:tab/>
        <w:t>A safety case must specify the address at which all records relating to the safety case are to be kept.</w:t>
      </w:r>
    </w:p>
    <w:p>
      <w:pPr>
        <w:pStyle w:val="yHeading2"/>
        <w:outlineLvl w:val="9"/>
      </w:pPr>
      <w:bookmarkStart w:id="211" w:name="_Toc187134399"/>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211"/>
    </w:p>
    <w:p>
      <w:pPr>
        <w:pStyle w:val="yHeading5"/>
        <w:outlineLvl w:val="9"/>
      </w:pPr>
      <w:bookmarkStart w:id="212" w:name="_Toc462719580"/>
      <w:bookmarkStart w:id="213" w:name="_Toc482683112"/>
      <w:r>
        <w:rPr>
          <w:rStyle w:val="CharSClsNo"/>
        </w:rPr>
        <w:t>10</w:t>
      </w:r>
      <w:r>
        <w:t>.</w:t>
      </w:r>
      <w:r>
        <w:tab/>
        <w:t>Safety policy</w:t>
      </w:r>
      <w:bookmarkEnd w:id="212"/>
      <w:bookmarkEnd w:id="213"/>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outlineLvl w:val="9"/>
      </w:pPr>
      <w:bookmarkStart w:id="214" w:name="_Toc462719581"/>
      <w:bookmarkStart w:id="215" w:name="_Toc482683113"/>
      <w:r>
        <w:rPr>
          <w:rStyle w:val="CharSClsNo"/>
        </w:rPr>
        <w:t>11</w:t>
      </w:r>
      <w:r>
        <w:t>.</w:t>
      </w:r>
      <w:r>
        <w:tab/>
        <w:t>Organisational structure and responsibilities</w:t>
      </w:r>
      <w:bookmarkEnd w:id="214"/>
      <w:bookmarkEnd w:id="215"/>
    </w:p>
    <w:p>
      <w:pPr>
        <w:pStyle w:val="ySubsection"/>
      </w:pPr>
      <w:r>
        <w:tab/>
      </w:r>
      <w:r>
        <w:tab/>
        <w:t>A safety management system must specify the titles of the positions and the duties of the persons responsible for the implementation of the safety policy.</w:t>
      </w:r>
    </w:p>
    <w:p>
      <w:pPr>
        <w:pStyle w:val="yHeading5"/>
        <w:outlineLvl w:val="9"/>
      </w:pPr>
      <w:bookmarkStart w:id="216" w:name="_Toc462719582"/>
      <w:bookmarkStart w:id="217" w:name="_Toc482683114"/>
      <w:r>
        <w:rPr>
          <w:rStyle w:val="CharSClsNo"/>
        </w:rPr>
        <w:t>12</w:t>
      </w:r>
      <w:r>
        <w:t>.</w:t>
      </w:r>
      <w:r>
        <w:tab/>
        <w:t>Published codes, standards and specifications</w:t>
      </w:r>
      <w:bookmarkEnd w:id="216"/>
      <w:bookmarkEnd w:id="217"/>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outlineLvl w:val="9"/>
      </w:pPr>
      <w:bookmarkStart w:id="218" w:name="_Toc462719583"/>
      <w:bookmarkStart w:id="219" w:name="_Toc482683115"/>
      <w:r>
        <w:rPr>
          <w:rStyle w:val="CharSClsNo"/>
        </w:rPr>
        <w:t>13</w:t>
      </w:r>
      <w:r>
        <w:t>.</w:t>
      </w:r>
      <w:r>
        <w:tab/>
        <w:t>Means of ensuring adequacy of design, construction, etc.</w:t>
      </w:r>
      <w:bookmarkEnd w:id="218"/>
      <w:bookmarkEnd w:id="219"/>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outlineLvl w:val="9"/>
      </w:pPr>
      <w:bookmarkStart w:id="220" w:name="_Toc462719584"/>
      <w:bookmarkStart w:id="221" w:name="_Toc482683116"/>
      <w:r>
        <w:rPr>
          <w:rStyle w:val="CharSClsNo"/>
        </w:rPr>
        <w:t>14</w:t>
      </w:r>
      <w:r>
        <w:t>.</w:t>
      </w:r>
      <w:r>
        <w:tab/>
        <w:t>Control systems</w:t>
      </w:r>
      <w:bookmarkEnd w:id="220"/>
      <w:bookmarkEnd w:id="221"/>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outlineLvl w:val="9"/>
      </w:pPr>
      <w:bookmarkStart w:id="222" w:name="_Toc462719585"/>
      <w:bookmarkStart w:id="223" w:name="_Toc482683117"/>
      <w:r>
        <w:rPr>
          <w:rStyle w:val="CharSClsNo"/>
        </w:rPr>
        <w:t>15</w:t>
      </w:r>
      <w:r>
        <w:t>.</w:t>
      </w:r>
      <w:r>
        <w:tab/>
        <w:t>Machinery and equipment</w:t>
      </w:r>
      <w:bookmarkEnd w:id="222"/>
      <w:bookmarkEnd w:id="223"/>
    </w:p>
    <w:p>
      <w:pPr>
        <w:pStyle w:val="ySubsection"/>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outlineLvl w:val="9"/>
      </w:pPr>
      <w:bookmarkStart w:id="224" w:name="_Toc462719587"/>
      <w:bookmarkStart w:id="225" w:name="_Toc482683118"/>
      <w:r>
        <w:rPr>
          <w:rStyle w:val="CharSClsNo"/>
        </w:rPr>
        <w:t>16</w:t>
      </w:r>
      <w:r>
        <w:t>.</w:t>
      </w:r>
      <w:r>
        <w:tab/>
        <w:t>Emergency preparedness</w:t>
      </w:r>
      <w:bookmarkEnd w:id="224"/>
      <w:bookmarkEnd w:id="225"/>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outlineLvl w:val="9"/>
      </w:pPr>
      <w:bookmarkStart w:id="226" w:name="_Toc462719588"/>
      <w:bookmarkStart w:id="227" w:name="_Toc482683119"/>
      <w:r>
        <w:rPr>
          <w:rStyle w:val="CharSClsNo"/>
        </w:rPr>
        <w:t>17</w:t>
      </w:r>
      <w:r>
        <w:t>.</w:t>
      </w:r>
      <w:r>
        <w:tab/>
        <w:t>Emergency communications systems</w:t>
      </w:r>
      <w:bookmarkEnd w:id="226"/>
      <w:bookmarkEnd w:id="227"/>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outlineLvl w:val="9"/>
      </w:pPr>
      <w:bookmarkStart w:id="228" w:name="_Toc462719589"/>
      <w:bookmarkStart w:id="229" w:name="_Toc482683120"/>
      <w:r>
        <w:rPr>
          <w:rStyle w:val="CharSClsNo"/>
        </w:rPr>
        <w:t>18</w:t>
      </w:r>
      <w:r>
        <w:t>.</w:t>
      </w:r>
      <w:r>
        <w:tab/>
        <w:t>Internal monitoring, auditing and reviewing</w:t>
      </w:r>
      <w:bookmarkEnd w:id="228"/>
      <w:bookmarkEnd w:id="229"/>
    </w:p>
    <w:p>
      <w:pPr>
        <w:pStyle w:val="ySubsection"/>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outlineLvl w:val="9"/>
      </w:pPr>
      <w:bookmarkStart w:id="230" w:name="_Toc462719591"/>
      <w:bookmarkStart w:id="231" w:name="_Toc482683121"/>
      <w:r>
        <w:rPr>
          <w:rStyle w:val="CharSClsNo"/>
        </w:rPr>
        <w:t>19</w:t>
      </w:r>
      <w:r>
        <w:t>.</w:t>
      </w:r>
      <w:r>
        <w:tab/>
        <w:t>Gas incident recording, reporting and investigation</w:t>
      </w:r>
      <w:bookmarkEnd w:id="230"/>
      <w:bookmarkEnd w:id="231"/>
    </w:p>
    <w:p>
      <w:pPr>
        <w:pStyle w:val="ySubsection"/>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outlineLvl w:val="9"/>
      </w:pPr>
      <w:bookmarkStart w:id="232" w:name="_Toc462719592"/>
      <w:bookmarkStart w:id="233" w:name="_Toc482683122"/>
      <w:r>
        <w:rPr>
          <w:rStyle w:val="CharSClsNo"/>
        </w:rPr>
        <w:t>20</w:t>
      </w:r>
      <w:r>
        <w:t>.</w:t>
      </w:r>
      <w:r>
        <w:tab/>
        <w:t>Training</w:t>
      </w:r>
      <w:bookmarkEnd w:id="232"/>
      <w:bookmarkEnd w:id="233"/>
    </w:p>
    <w:p>
      <w:pPr>
        <w:pStyle w:val="ySubsection"/>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b/>
        </w:rPr>
        <w:t>“</w:t>
      </w:r>
      <w:r>
        <w:rPr>
          <w:rStyle w:val="CharDefText"/>
        </w:rPr>
        <w:t>safety critical work</w:t>
      </w:r>
      <w:r>
        <w:rPr>
          <w:b/>
        </w:rPr>
        <w:t>”</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pPr>
      <w:bookmarkStart w:id="234" w:name="_Toc187134400"/>
      <w:r>
        <w:rPr>
          <w:rStyle w:val="CharSchNo"/>
        </w:rPr>
        <w:t>Schedule 4</w:t>
      </w:r>
      <w:r>
        <w:t> — </w:t>
      </w:r>
      <w:r>
        <w:rPr>
          <w:rStyle w:val="CharSchText"/>
        </w:rPr>
        <w:t>Sub</w:t>
      </w:r>
      <w:r>
        <w:rPr>
          <w:rStyle w:val="CharSchText"/>
        </w:rPr>
        <w:noBreakHyphen/>
        <w:t>networks</w:t>
      </w:r>
      <w:bookmarkEnd w:id="234"/>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(Nangetty Road);</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t>Harvey;</w:t>
      </w:r>
    </w:p>
    <w:p>
      <w:pPr>
        <w:pStyle w:val="yIndenta"/>
      </w:pPr>
      <w:r>
        <w:tab/>
        <w:t>(l)</w:t>
      </w:r>
      <w:r>
        <w:tab/>
        <w:t>Kemerton;</w:t>
      </w:r>
    </w:p>
    <w:p>
      <w:pPr>
        <w:pStyle w:val="yIndenta"/>
      </w:pPr>
      <w:r>
        <w:tab/>
        <w:t>(m)</w:t>
      </w:r>
      <w:r>
        <w:tab/>
        <w:t>Clifton Road, Bunbury.</w:t>
      </w:r>
    </w:p>
    <w:p>
      <w:pPr>
        <w:pStyle w:val="yFootnotesection"/>
      </w:pPr>
      <w:r>
        <w:tab/>
        <w:t>[Schedule 4 inserted in Gazette 4 Jan 2008 p. 15.]</w:t>
      </w:r>
    </w:p>
    <w:p>
      <w:pPr>
        <w:sectPr>
          <w:headerReference w:type="default" r:id="rId32"/>
          <w:pgSz w:w="11906" w:h="16838" w:code="9"/>
          <w:pgMar w:top="2376" w:right="2405" w:bottom="3542" w:left="2405" w:header="706" w:footer="3380" w:gutter="0"/>
          <w:cols w:space="720"/>
          <w:noEndnote/>
          <w:docGrid w:linePitch="326"/>
        </w:sectPr>
      </w:pPr>
    </w:p>
    <w:p>
      <w:pPr>
        <w:pStyle w:val="nHeading2"/>
      </w:pPr>
      <w:bookmarkStart w:id="235" w:name="_Toc187134401"/>
      <w:r>
        <w:t>Notes</w:t>
      </w:r>
      <w:bookmarkEnd w:id="235"/>
    </w:p>
    <w:p>
      <w:pPr>
        <w:pStyle w:val="nSubsection"/>
        <w:rPr>
          <w:snapToGrid w:val="0"/>
        </w:rPr>
      </w:pPr>
      <w:r>
        <w:rPr>
          <w:snapToGrid w:val="0"/>
          <w:vertAlign w:val="superscript"/>
        </w:rPr>
        <w:t>1</w:t>
      </w:r>
      <w:r>
        <w:rPr>
          <w:snapToGrid w:val="0"/>
        </w:rPr>
        <w:tab/>
        <w:t xml:space="preserve">This is a compilation of the </w:t>
      </w:r>
      <w:r>
        <w:rPr>
          <w:i/>
        </w:rPr>
        <w:t>Gas Standards (Gas Supply and System Safety) Regulations 2000</w:t>
      </w:r>
      <w:r>
        <w:rPr>
          <w:snapToGrid w:val="0"/>
        </w:rPr>
        <w:t xml:space="preserve"> and includes the amendments referred to in the following Table.</w:t>
      </w:r>
    </w:p>
    <w:p>
      <w:pPr>
        <w:pStyle w:val="nHeading3"/>
      </w:pPr>
      <w: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Borders>
              <w:bottom w:val="single" w:sz="8" w:space="0" w:color="auto"/>
            </w:tcBorders>
          </w:tcPr>
          <w:p>
            <w:pPr>
              <w:pStyle w:val="nTable"/>
              <w:spacing w:after="40"/>
              <w:rPr>
                <w:i/>
                <w:sz w:val="19"/>
              </w:rPr>
            </w:pPr>
            <w:r>
              <w:rPr>
                <w:i/>
                <w:sz w:val="19"/>
              </w:rPr>
              <w:t>Gas Standards (Gas Supply and System Safety) Amendment Regulations 2007</w:t>
            </w:r>
          </w:p>
        </w:tc>
        <w:tc>
          <w:tcPr>
            <w:tcW w:w="1276" w:type="dxa"/>
            <w:tcBorders>
              <w:bottom w:val="single" w:sz="8" w:space="0" w:color="auto"/>
            </w:tcBorders>
          </w:tcPr>
          <w:p>
            <w:pPr>
              <w:pStyle w:val="nTable"/>
              <w:spacing w:after="40"/>
              <w:rPr>
                <w:sz w:val="19"/>
              </w:rPr>
            </w:pPr>
            <w:r>
              <w:rPr>
                <w:sz w:val="19"/>
              </w:rPr>
              <w:t>4 Jan 2008 p. 3-15</w:t>
            </w:r>
          </w:p>
        </w:tc>
        <w:tc>
          <w:tcPr>
            <w:tcW w:w="2693" w:type="dxa"/>
            <w:tcBorders>
              <w:bottom w:val="single" w:sz="8" w:space="0" w:color="auto"/>
            </w:tcBorders>
          </w:tcPr>
          <w:p>
            <w:pPr>
              <w:pStyle w:val="nTable"/>
              <w:spacing w:after="40"/>
              <w:rPr>
                <w:sz w:val="19"/>
              </w:rPr>
            </w:pPr>
            <w:r>
              <w:rPr>
                <w:sz w:val="19"/>
              </w:rPr>
              <w:t>r. 1 and 2: 4 Jan 2008 (see </w:t>
            </w:r>
            <w:bookmarkStart w:id="236" w:name="UpToHere"/>
            <w:bookmarkEnd w:id="236"/>
            <w:r>
              <w:rPr>
                <w:sz w:val="19"/>
              </w:rPr>
              <w:t>r. 2(a));</w:t>
            </w:r>
          </w:p>
          <w:p>
            <w:pPr>
              <w:pStyle w:val="nTable"/>
              <w:spacing w:before="0" w:after="40"/>
              <w:rPr>
                <w:sz w:val="19"/>
              </w:rPr>
            </w:pPr>
            <w:r>
              <w:rPr>
                <w:sz w:val="19"/>
              </w:rPr>
              <w:t>Regulations other than r. 1 and 2: 5 Jan 2008 (see r. 2(b))</w:t>
            </w:r>
          </w:p>
        </w:tc>
      </w:tr>
    </w:tbl>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 Supply and System Safety)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Standards and codes containing obligatory provisions for network operators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Standards and codes containing obligatory provisions for network operators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6409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3E43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92D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C2F5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0060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7275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169C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257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866C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683C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006EC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61A4CA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736"/>
    <w:docVar w:name="WAFER_20151211131736" w:val="RemoveTrackChanges"/>
    <w:docVar w:name="WAFER_20151211131736_GUID" w:val="c4bf875b-a822-4a79-b489-41be17c9a3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15794</Words>
  <Characters>78340</Characters>
  <Application>Microsoft Office Word</Application>
  <DocSecurity>0</DocSecurity>
  <Lines>2176</Lines>
  <Paragraphs>1272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2000 - 00-c0-02</dc:title>
  <dc:subject/>
  <dc:creator/>
  <cp:keywords/>
  <dc:description/>
  <cp:lastModifiedBy>svcMRProcess</cp:lastModifiedBy>
  <cp:revision>4</cp:revision>
  <cp:lastPrinted>2000-07-03T08:27:00Z</cp:lastPrinted>
  <dcterms:created xsi:type="dcterms:W3CDTF">2020-02-25T21:58:00Z</dcterms:created>
  <dcterms:modified xsi:type="dcterms:W3CDTF">2020-02-25T21:58:00Z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AsAtDate">
    <vt:lpwstr>05 Jan 2008</vt:lpwstr>
  </property>
  <property fmtid="{D5CDD505-2E9C-101B-9397-08002B2CF9AE}" pid="5" name="Suffix">
    <vt:lpwstr>00-c0-02</vt:lpwstr>
  </property>
  <property fmtid="{D5CDD505-2E9C-101B-9397-08002B2CF9AE}" pid="6" name="CommencementDate">
    <vt:lpwstr>20080105</vt:lpwstr>
  </property>
  <property fmtid="{D5CDD505-2E9C-101B-9397-08002B2CF9AE}" pid="7" name="OwlsUID">
    <vt:i4>1136</vt:i4>
  </property>
</Properties>
</file>