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Settlement Agents Act 1981</w:t>
      </w:r>
    </w:p>
    <w:p>
      <w:pPr>
        <w:pStyle w:val="NameofActRegPage1"/>
        <w:spacing w:before="2520" w:after="4200"/>
        <w:ind w:left="482" w:right="488"/>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February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_Toc191098754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_Toc191098755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_Toc191098756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_Toc191098757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_Toc191098758 \h </w:instrText>
      </w:r>
      <w:r>
        <w:fldChar w:fldCharType="separate"/>
      </w:r>
      <w:r>
        <w:t>2</w:t>
      </w:r>
      <w:r>
        <w:fldChar w:fldCharType="end"/>
      </w:r>
    </w:p>
    <w:p>
      <w:pPr>
        <w:pStyle w:val="TOC8"/>
        <w:rPr>
          <w:sz w:val="24"/>
          <w:szCs w:val="24"/>
        </w:rPr>
      </w:pPr>
      <w:r>
        <w:rPr>
          <w:szCs w:val="24"/>
        </w:rPr>
        <w:t>4B.</w:t>
      </w:r>
      <w:r>
        <w:rPr>
          <w:szCs w:val="24"/>
        </w:rPr>
        <w:tab/>
        <w:t>Prescribed educational requirements — section 31(2a)</w:t>
      </w:r>
      <w:r>
        <w:tab/>
      </w:r>
      <w:r>
        <w:fldChar w:fldCharType="begin"/>
      </w:r>
      <w:r>
        <w:instrText xml:space="preserve"> PAGEREF _Toc191098759 \h </w:instrText>
      </w:r>
      <w:r>
        <w:fldChar w:fldCharType="separate"/>
      </w:r>
      <w:r>
        <w:t>3</w:t>
      </w:r>
      <w:r>
        <w:fldChar w:fldCharType="end"/>
      </w:r>
    </w:p>
    <w:p>
      <w:pPr>
        <w:pStyle w:val="TOC8"/>
        <w:rPr>
          <w:sz w:val="24"/>
          <w:szCs w:val="24"/>
        </w:rPr>
      </w:pPr>
      <w:r>
        <w:rPr>
          <w:szCs w:val="24"/>
        </w:rPr>
        <w:t>4C.</w:t>
      </w:r>
      <w:r>
        <w:rPr>
          <w:szCs w:val="24"/>
        </w:rPr>
        <w:tab/>
        <w:t>Board to approve educational activities</w:t>
      </w:r>
      <w:r>
        <w:tab/>
      </w:r>
      <w:r>
        <w:fldChar w:fldCharType="begin"/>
      </w:r>
      <w:r>
        <w:instrText xml:space="preserve"> PAGEREF _Toc191098760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Publication of notice of application</w:t>
      </w:r>
      <w:r>
        <w:tab/>
      </w:r>
      <w:r>
        <w:fldChar w:fldCharType="begin"/>
      </w:r>
      <w:r>
        <w:instrText xml:space="preserve"> PAGEREF _Toc191098761 \h </w:instrText>
      </w:r>
      <w:r>
        <w:fldChar w:fldCharType="separate"/>
      </w:r>
      <w:r>
        <w:t>6</w:t>
      </w:r>
      <w:r>
        <w:fldChar w:fldCharType="end"/>
      </w:r>
    </w:p>
    <w:p>
      <w:pPr>
        <w:pStyle w:val="TOC8"/>
        <w:rPr>
          <w:sz w:val="24"/>
          <w:szCs w:val="24"/>
        </w:rPr>
      </w:pPr>
      <w:r>
        <w:rPr>
          <w:szCs w:val="24"/>
        </w:rPr>
        <w:t>6.</w:t>
      </w:r>
      <w:r>
        <w:rPr>
          <w:szCs w:val="24"/>
        </w:rPr>
        <w:tab/>
      </w:r>
      <w:r>
        <w:rPr>
          <w:snapToGrid w:val="0"/>
          <w:szCs w:val="24"/>
        </w:rPr>
        <w:t>Examinations</w:t>
      </w:r>
      <w:r>
        <w:tab/>
      </w:r>
      <w:r>
        <w:fldChar w:fldCharType="begin"/>
      </w:r>
      <w:r>
        <w:instrText xml:space="preserve"> PAGEREF _Toc191098762 \h </w:instrText>
      </w:r>
      <w:r>
        <w:fldChar w:fldCharType="separate"/>
      </w:r>
      <w:r>
        <w:t>6</w:t>
      </w:r>
      <w:r>
        <w:fldChar w:fldCharType="end"/>
      </w:r>
    </w:p>
    <w:p>
      <w:pPr>
        <w:pStyle w:val="TOC8"/>
        <w:rPr>
          <w:sz w:val="24"/>
          <w:szCs w:val="24"/>
        </w:rPr>
      </w:pPr>
      <w:r>
        <w:rPr>
          <w:szCs w:val="24"/>
        </w:rPr>
        <w:t>6AA</w:t>
      </w:r>
      <w:r>
        <w:rPr>
          <w:snapToGrid w:val="0"/>
          <w:szCs w:val="24"/>
        </w:rPr>
        <w:t>.</w:t>
      </w:r>
      <w:r>
        <w:rPr>
          <w:snapToGrid w:val="0"/>
          <w:szCs w:val="24"/>
        </w:rPr>
        <w:tab/>
        <w:t>Information to be included in agent’s authority to act</w:t>
      </w:r>
      <w:r>
        <w:tab/>
      </w:r>
      <w:r>
        <w:fldChar w:fldCharType="begin"/>
      </w:r>
      <w:r>
        <w:instrText xml:space="preserve"> PAGEREF _Toc191098763 \h </w:instrText>
      </w:r>
      <w:r>
        <w:fldChar w:fldCharType="separate"/>
      </w:r>
      <w:r>
        <w:t>8</w:t>
      </w:r>
      <w:r>
        <w:fldChar w:fldCharType="end"/>
      </w:r>
    </w:p>
    <w:p>
      <w:pPr>
        <w:pStyle w:val="TOC8"/>
        <w:rPr>
          <w:sz w:val="24"/>
          <w:szCs w:val="24"/>
        </w:rPr>
      </w:pPr>
      <w:r>
        <w:rPr>
          <w:szCs w:val="24"/>
        </w:rPr>
        <w:t>6A</w:t>
      </w:r>
      <w:r>
        <w:rPr>
          <w:snapToGrid w:val="0"/>
          <w:szCs w:val="24"/>
        </w:rPr>
        <w:t>.</w:t>
      </w:r>
      <w:r>
        <w:rPr>
          <w:snapToGrid w:val="0"/>
          <w:szCs w:val="24"/>
        </w:rPr>
        <w:tab/>
        <w:t>Definition of “authorised financial institution” — prescribed classes</w:t>
      </w:r>
      <w:r>
        <w:tab/>
      </w:r>
      <w:r>
        <w:fldChar w:fldCharType="begin"/>
      </w:r>
      <w:r>
        <w:instrText xml:space="preserve"> PAGEREF _Toc191098764 \h </w:instrText>
      </w:r>
      <w:r>
        <w:fldChar w:fldCharType="separate"/>
      </w:r>
      <w:r>
        <w:t>8</w:t>
      </w:r>
      <w:r>
        <w:fldChar w:fldCharType="end"/>
      </w:r>
    </w:p>
    <w:p>
      <w:pPr>
        <w:pStyle w:val="TOC8"/>
        <w:rPr>
          <w:sz w:val="24"/>
          <w:szCs w:val="24"/>
        </w:rPr>
      </w:pPr>
      <w:r>
        <w:rPr>
          <w:szCs w:val="24"/>
        </w:rPr>
        <w:t>6B</w:t>
      </w:r>
      <w:r>
        <w:rPr>
          <w:snapToGrid w:val="0"/>
          <w:szCs w:val="24"/>
        </w:rPr>
        <w:t>.</w:t>
      </w:r>
      <w:r>
        <w:rPr>
          <w:snapToGrid w:val="0"/>
          <w:szCs w:val="24"/>
        </w:rPr>
        <w:tab/>
        <w:t>Designation of trust accounts</w:t>
      </w:r>
      <w:r>
        <w:tab/>
      </w:r>
      <w:r>
        <w:fldChar w:fldCharType="begin"/>
      </w:r>
      <w:r>
        <w:instrText xml:space="preserve"> PAGEREF _Toc191098765 \h </w:instrText>
      </w:r>
      <w:r>
        <w:fldChar w:fldCharType="separate"/>
      </w:r>
      <w:r>
        <w:t>8</w:t>
      </w:r>
      <w:r>
        <w:fldChar w:fldCharType="end"/>
      </w:r>
    </w:p>
    <w:p>
      <w:pPr>
        <w:pStyle w:val="TOC8"/>
        <w:rPr>
          <w:sz w:val="24"/>
          <w:szCs w:val="24"/>
        </w:rPr>
      </w:pPr>
      <w:r>
        <w:rPr>
          <w:szCs w:val="24"/>
        </w:rPr>
        <w:t>6C</w:t>
      </w:r>
      <w:r>
        <w:rPr>
          <w:snapToGrid w:val="0"/>
          <w:szCs w:val="24"/>
        </w:rPr>
        <w:t>.</w:t>
      </w:r>
      <w:r>
        <w:rPr>
          <w:snapToGrid w:val="0"/>
          <w:szCs w:val="24"/>
        </w:rPr>
        <w:tab/>
        <w:t>Prescribed requirements for separate accounts</w:t>
      </w:r>
      <w:r>
        <w:tab/>
      </w:r>
      <w:r>
        <w:fldChar w:fldCharType="begin"/>
      </w:r>
      <w:r>
        <w:instrText xml:space="preserve"> PAGEREF _Toc191098766 \h </w:instrText>
      </w:r>
      <w:r>
        <w:fldChar w:fldCharType="separate"/>
      </w:r>
      <w:r>
        <w:t>9</w:t>
      </w:r>
      <w:r>
        <w:fldChar w:fldCharType="end"/>
      </w:r>
    </w:p>
    <w:p>
      <w:pPr>
        <w:pStyle w:val="TOC8"/>
        <w:rPr>
          <w:sz w:val="24"/>
          <w:szCs w:val="24"/>
        </w:rPr>
      </w:pPr>
      <w:r>
        <w:rPr>
          <w:szCs w:val="24"/>
        </w:rPr>
        <w:t>6D</w:t>
      </w:r>
      <w:r>
        <w:rPr>
          <w:snapToGrid w:val="0"/>
          <w:szCs w:val="24"/>
        </w:rPr>
        <w:t>.</w:t>
      </w:r>
      <w:r>
        <w:rPr>
          <w:snapToGrid w:val="0"/>
          <w:szCs w:val="24"/>
        </w:rPr>
        <w:tab/>
        <w:t>Interest payable on trust accounts</w:t>
      </w:r>
      <w:r>
        <w:tab/>
      </w:r>
      <w:r>
        <w:fldChar w:fldCharType="begin"/>
      </w:r>
      <w:r>
        <w:instrText xml:space="preserve"> PAGEREF _Toc191098767 \h </w:instrText>
      </w:r>
      <w:r>
        <w:fldChar w:fldCharType="separate"/>
      </w:r>
      <w:r>
        <w:t>9</w:t>
      </w:r>
      <w:r>
        <w:fldChar w:fldCharType="end"/>
      </w:r>
    </w:p>
    <w:p>
      <w:pPr>
        <w:pStyle w:val="TOC8"/>
        <w:rPr>
          <w:sz w:val="24"/>
          <w:szCs w:val="24"/>
        </w:rPr>
      </w:pPr>
      <w:r>
        <w:rPr>
          <w:szCs w:val="24"/>
        </w:rPr>
        <w:t>6E.</w:t>
      </w:r>
      <w:r>
        <w:rPr>
          <w:szCs w:val="24"/>
        </w:rPr>
        <w:tab/>
        <w:t>Content of receipts</w:t>
      </w:r>
      <w:r>
        <w:tab/>
      </w:r>
      <w:r>
        <w:fldChar w:fldCharType="begin"/>
      </w:r>
      <w:r>
        <w:instrText xml:space="preserve"> PAGEREF _Toc191098768 \h </w:instrText>
      </w:r>
      <w:r>
        <w:fldChar w:fldCharType="separate"/>
      </w:r>
      <w:r>
        <w:t>10</w:t>
      </w:r>
      <w:r>
        <w:fldChar w:fldCharType="end"/>
      </w:r>
    </w:p>
    <w:p>
      <w:pPr>
        <w:pStyle w:val="TOC8"/>
        <w:rPr>
          <w:sz w:val="24"/>
          <w:szCs w:val="24"/>
        </w:rPr>
      </w:pPr>
      <w:r>
        <w:rPr>
          <w:szCs w:val="24"/>
        </w:rPr>
        <w:t>6F</w:t>
      </w:r>
      <w:r>
        <w:rPr>
          <w:snapToGrid w:val="0"/>
          <w:szCs w:val="24"/>
        </w:rPr>
        <w:t>.</w:t>
      </w:r>
      <w:r>
        <w:rPr>
          <w:snapToGrid w:val="0"/>
          <w:szCs w:val="24"/>
        </w:rPr>
        <w:tab/>
        <w:t>Records under section 50(1)(b)</w:t>
      </w:r>
      <w:r>
        <w:tab/>
      </w:r>
      <w:r>
        <w:fldChar w:fldCharType="begin"/>
      </w:r>
      <w:r>
        <w:instrText xml:space="preserve"> PAGEREF _Toc191098769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_Toc191098770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Recovery of fees and costs</w:t>
      </w:r>
      <w:r>
        <w:tab/>
      </w:r>
      <w:r>
        <w:fldChar w:fldCharType="begin"/>
      </w:r>
      <w:r>
        <w:instrText xml:space="preserve"> PAGEREF _Toc191098771 \h </w:instrText>
      </w:r>
      <w:r>
        <w:fldChar w:fldCharType="separate"/>
      </w:r>
      <w:r>
        <w:t>12</w:t>
      </w:r>
      <w:r>
        <w:fldChar w:fldCharType="end"/>
      </w:r>
    </w:p>
    <w:p>
      <w:pPr>
        <w:pStyle w:val="TOC8"/>
        <w:rPr>
          <w:sz w:val="24"/>
          <w:szCs w:val="24"/>
        </w:rPr>
      </w:pPr>
      <w:r>
        <w:rPr>
          <w:szCs w:val="24"/>
        </w:rPr>
        <w:t>9.</w:t>
      </w:r>
      <w:r>
        <w:rPr>
          <w:szCs w:val="24"/>
        </w:rPr>
        <w:tab/>
        <w:t>Application of Board Interest Account</w:t>
      </w:r>
      <w:r>
        <w:tab/>
      </w:r>
      <w:r>
        <w:fldChar w:fldCharType="begin"/>
      </w:r>
      <w:r>
        <w:instrText xml:space="preserve"> PAGEREF _Toc191098772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Claims against the Fidelity Guarantee Account</w:t>
      </w:r>
      <w:r>
        <w:tab/>
      </w:r>
      <w:r>
        <w:fldChar w:fldCharType="begin"/>
      </w:r>
      <w:r>
        <w:instrText xml:space="preserve"> PAGEREF _Toc191098773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Documents that a real estate settlement agent may draw etc.</w:t>
      </w:r>
      <w:r>
        <w:tab/>
      </w:r>
      <w:r>
        <w:fldChar w:fldCharType="begin"/>
      </w:r>
      <w:r>
        <w:instrText xml:space="preserve"> PAGEREF _Toc191098774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Documents that a business settlement agent may draw etc.</w:t>
      </w:r>
      <w:r>
        <w:tab/>
      </w:r>
      <w:r>
        <w:fldChar w:fldCharType="begin"/>
      </w:r>
      <w:r>
        <w:instrText xml:space="preserve"> PAGEREF _Toc191098775 \h </w:instrText>
      </w:r>
      <w:r>
        <w:fldChar w:fldCharType="separate"/>
      </w:r>
      <w:r>
        <w:t>14</w:t>
      </w:r>
      <w:r>
        <w:fldChar w:fldCharType="end"/>
      </w:r>
    </w:p>
    <w:p>
      <w:pPr>
        <w:pStyle w:val="TOC8"/>
        <w:rPr>
          <w:sz w:val="24"/>
          <w:szCs w:val="24"/>
        </w:rPr>
      </w:pPr>
      <w:r>
        <w:rPr>
          <w:szCs w:val="24"/>
        </w:rPr>
        <w:t>12A</w:t>
      </w:r>
      <w:r>
        <w:rPr>
          <w:snapToGrid w:val="0"/>
          <w:szCs w:val="24"/>
        </w:rPr>
        <w:t>.</w:t>
      </w:r>
      <w:r>
        <w:rPr>
          <w:snapToGrid w:val="0"/>
          <w:szCs w:val="24"/>
        </w:rPr>
        <w:tab/>
        <w:t>Power of attorney</w:t>
      </w:r>
      <w:r>
        <w:tab/>
      </w:r>
      <w:r>
        <w:fldChar w:fldCharType="begin"/>
      </w:r>
      <w:r>
        <w:instrText xml:space="preserve"> PAGEREF _Toc191098776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Warning notice by certain exempted persons</w:t>
      </w:r>
      <w:r>
        <w:tab/>
      </w:r>
      <w:r>
        <w:fldChar w:fldCharType="begin"/>
      </w:r>
      <w:r>
        <w:instrText xml:space="preserve"> PAGEREF _Toc191098777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Absence of licensee</w:t>
      </w:r>
      <w:r>
        <w:tab/>
      </w:r>
      <w:r>
        <w:fldChar w:fldCharType="begin"/>
      </w:r>
      <w:r>
        <w:instrText xml:space="preserve"> PAGEREF _Toc191098778 \h </w:instrText>
      </w:r>
      <w:r>
        <w:fldChar w:fldCharType="separate"/>
      </w:r>
      <w:r>
        <w:t>14</w:t>
      </w:r>
      <w:r>
        <w:fldChar w:fldCharType="end"/>
      </w:r>
    </w:p>
    <w:p>
      <w:pPr>
        <w:pStyle w:val="TOC8"/>
        <w:rPr>
          <w:sz w:val="24"/>
          <w:szCs w:val="24"/>
        </w:rPr>
      </w:pPr>
      <w:r>
        <w:rPr>
          <w:szCs w:val="24"/>
        </w:rPr>
        <w:t>15.</w:t>
      </w:r>
      <w:r>
        <w:rPr>
          <w:szCs w:val="24"/>
        </w:rPr>
        <w:tab/>
        <w:t>Infringement notices</w:t>
      </w:r>
      <w:r>
        <w:tab/>
      </w:r>
      <w:r>
        <w:fldChar w:fldCharType="begin"/>
      </w:r>
      <w:r>
        <w:instrText xml:space="preserve"> PAGEREF _Toc191098779 \h </w:instrText>
      </w:r>
      <w:r>
        <w:fldChar w:fldCharType="separate"/>
      </w:r>
      <w:r>
        <w:t>15</w:t>
      </w:r>
      <w:r>
        <w:fldChar w:fldCharType="end"/>
      </w:r>
    </w:p>
    <w:p>
      <w:pPr>
        <w:pStyle w:val="TOC8"/>
        <w:rPr>
          <w:sz w:val="24"/>
          <w:szCs w:val="24"/>
        </w:rPr>
      </w:pPr>
      <w:r>
        <w:rPr>
          <w:szCs w:val="24"/>
        </w:rPr>
        <w:t>16.</w:t>
      </w:r>
      <w:r>
        <w:rPr>
          <w:szCs w:val="24"/>
        </w:rPr>
        <w:tab/>
        <w:t>Forms</w:t>
      </w:r>
      <w:r>
        <w:tab/>
      </w:r>
      <w:r>
        <w:fldChar w:fldCharType="begin"/>
      </w:r>
      <w:r>
        <w:instrText xml:space="preserve"> PAGEREF _Toc191098780 \h </w:instrText>
      </w:r>
      <w:r>
        <w:fldChar w:fldCharType="separate"/>
      </w:r>
      <w:r>
        <w:t>16</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pPr>
        <w:pStyle w:val="TOC2"/>
        <w:tabs>
          <w:tab w:val="right" w:leader="dot" w:pos="7086"/>
        </w:tabs>
        <w:rPr>
          <w:b w:val="0"/>
          <w:sz w:val="24"/>
          <w:szCs w:val="24"/>
        </w:rPr>
      </w:pPr>
      <w:r>
        <w:rPr>
          <w:szCs w:val="28"/>
        </w:rPr>
        <w:t>Schedule 2 — Notice under section 26A or 26B of the Act</w:t>
      </w:r>
    </w:p>
    <w:p>
      <w:pPr>
        <w:pStyle w:val="TOC2"/>
        <w:tabs>
          <w:tab w:val="right" w:leader="dot" w:pos="7086"/>
        </w:tabs>
        <w:rPr>
          <w:b w:val="0"/>
          <w:sz w:val="24"/>
          <w:szCs w:val="24"/>
        </w:rPr>
      </w:pPr>
      <w:r>
        <w:rPr>
          <w:szCs w:val="28"/>
        </w:rPr>
        <w:t>Schedule 3 — Documents that a real estate settlement agent may draw or prepare</w:t>
      </w:r>
    </w:p>
    <w:p>
      <w:pPr>
        <w:pStyle w:val="TOC4"/>
        <w:tabs>
          <w:tab w:val="right" w:leader="dot" w:pos="7086"/>
        </w:tabs>
        <w:rPr>
          <w:b w:val="0"/>
          <w:sz w:val="24"/>
          <w:szCs w:val="24"/>
        </w:rPr>
      </w:pPr>
      <w:r>
        <w:rPr>
          <w:snapToGrid w:val="0"/>
          <w:szCs w:val="24"/>
        </w:rPr>
        <w:t>Part A — Offer and acceptance</w:t>
      </w:r>
    </w:p>
    <w:p>
      <w:pPr>
        <w:pStyle w:val="TOC4"/>
        <w:tabs>
          <w:tab w:val="right" w:leader="dot" w:pos="7086"/>
        </w:tabs>
        <w:rPr>
          <w:b w:val="0"/>
          <w:sz w:val="24"/>
          <w:szCs w:val="24"/>
        </w:rPr>
      </w:pPr>
      <w:r>
        <w:rPr>
          <w:snapToGrid w:val="0"/>
          <w:szCs w:val="24"/>
        </w:rPr>
        <w:t>Part B — Requisitions on title</w:t>
      </w:r>
    </w:p>
    <w:p>
      <w:pPr>
        <w:pStyle w:val="TOC4"/>
        <w:tabs>
          <w:tab w:val="right" w:leader="dot" w:pos="7086"/>
        </w:tabs>
        <w:rPr>
          <w:b w:val="0"/>
          <w:sz w:val="24"/>
          <w:szCs w:val="24"/>
        </w:rPr>
      </w:pPr>
      <w:r>
        <w:rPr>
          <w:snapToGrid w:val="0"/>
          <w:szCs w:val="24"/>
        </w:rPr>
        <w:t>Part C — Documents for registration or lodgement</w:t>
      </w:r>
    </w:p>
    <w:p>
      <w:pPr>
        <w:pStyle w:val="TOC2"/>
        <w:tabs>
          <w:tab w:val="right" w:leader="dot" w:pos="7086"/>
        </w:tabs>
        <w:rPr>
          <w:b w:val="0"/>
          <w:sz w:val="24"/>
          <w:szCs w:val="24"/>
        </w:rPr>
      </w:pPr>
      <w:r>
        <w:rPr>
          <w:szCs w:val="28"/>
        </w:rPr>
        <w:t>Schedule 4 — Documents that a business settlement agent may draw or prepare</w:t>
      </w:r>
    </w:p>
    <w:p>
      <w:pPr>
        <w:pStyle w:val="TOC2"/>
        <w:tabs>
          <w:tab w:val="right" w:leader="dot" w:pos="7086"/>
        </w:tabs>
        <w:rPr>
          <w:b w:val="0"/>
          <w:sz w:val="24"/>
          <w:szCs w:val="24"/>
        </w:rPr>
      </w:pPr>
      <w:r>
        <w:rPr>
          <w:szCs w:val="28"/>
        </w:rPr>
        <w:t>Schedule 5 — Prescribed offences and modified penalties</w:t>
      </w:r>
    </w:p>
    <w:p>
      <w:pPr>
        <w:pStyle w:val="TOC2"/>
        <w:tabs>
          <w:tab w:val="right" w:leader="dot" w:pos="7086"/>
        </w:tabs>
        <w:rPr>
          <w:b w:val="0"/>
          <w:sz w:val="24"/>
          <w:szCs w:val="24"/>
        </w:rPr>
      </w:pPr>
      <w:r>
        <w:rPr>
          <w:szCs w:val="28"/>
        </w:rPr>
        <w:t>Schedule 6 — Forms</w:t>
      </w:r>
    </w:p>
    <w:p>
      <w:pPr>
        <w:pStyle w:val="TOC8"/>
        <w:rPr>
          <w:sz w:val="24"/>
          <w:szCs w:val="24"/>
        </w:rPr>
      </w:pPr>
      <w:r>
        <w:rPr>
          <w:szCs w:val="22"/>
        </w:rPr>
        <w:tab/>
        <w:t>Form 1 — Infringement notice</w:t>
      </w:r>
      <w:r>
        <w:tab/>
      </w:r>
      <w:r>
        <w:fldChar w:fldCharType="begin"/>
      </w:r>
      <w:r>
        <w:instrText xml:space="preserve"> PAGEREF _Toc191098791 \h </w:instrText>
      </w:r>
      <w:r>
        <w:fldChar w:fldCharType="separate"/>
      </w:r>
      <w:r>
        <w:t>28</w:t>
      </w:r>
      <w:r>
        <w:fldChar w:fldCharType="end"/>
      </w:r>
    </w:p>
    <w:p>
      <w:pPr>
        <w:pStyle w:val="TOC8"/>
        <w:rPr>
          <w:sz w:val="24"/>
          <w:szCs w:val="24"/>
        </w:rPr>
      </w:pPr>
      <w:r>
        <w:tab/>
        <w:t>Form 2 — Withdrawal of infringement notice</w:t>
      </w:r>
      <w:r>
        <w:tab/>
      </w:r>
      <w:r>
        <w:fldChar w:fldCharType="begin"/>
      </w:r>
      <w:r>
        <w:instrText xml:space="preserve"> PAGEREF _Toc191098792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_Toc191098794 \h </w:instrText>
      </w:r>
      <w:r>
        <w:fldChar w:fldCharType="separate"/>
      </w:r>
      <w:r>
        <w:t>31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70535"/>
                  <wp:effectExtent l="0" t="0" r="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February 2008</w:t>
            </w:r>
          </w:p>
        </w:tc>
      </w:tr>
    </w:tbl>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2" w:name="_Toc191098754"/>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3" w:name="_Toc191098755"/>
      <w:r>
        <w:rPr>
          <w:rStyle w:val="CharSectno"/>
        </w:rPr>
        <w:t>2</w:t>
      </w:r>
      <w:r>
        <w:rPr>
          <w:snapToGrid w:val="0"/>
        </w:rPr>
        <w:t>.</w:t>
      </w:r>
      <w:r>
        <w:rPr>
          <w:snapToGrid w:val="0"/>
        </w:rPr>
        <w:tab/>
        <w:t>Terms used in these regulations</w:t>
      </w:r>
      <w:bookmarkEnd w:id="3"/>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approved educational activity</w:t>
      </w:r>
      <w:r>
        <w:rPr>
          <w:b/>
        </w:rPr>
        <w:t>”</w:t>
      </w:r>
      <w:r>
        <w:t xml:space="preserve"> means an educational activity approved under regulation 4C(1)(a)(ii) or (b);</w:t>
      </w:r>
    </w:p>
    <w:p>
      <w:pPr>
        <w:pStyle w:val="Defstart"/>
      </w:pPr>
      <w:r>
        <w:rPr>
          <w:b/>
        </w:rPr>
        <w:tab/>
        <w:t>“</w:t>
      </w:r>
      <w:r>
        <w:rPr>
          <w:rStyle w:val="CharDefText"/>
        </w:rPr>
        <w:t>core professional development subject</w:t>
      </w:r>
      <w:r>
        <w:rPr>
          <w:b/>
          <w:bCs/>
        </w:rPr>
        <w:t>”</w:t>
      </w:r>
      <w:r>
        <w:t xml:space="preserve"> means a professional development subject approved under regulation 4C(1)(a)(i);</w:t>
      </w:r>
    </w:p>
    <w:p>
      <w:pPr>
        <w:pStyle w:val="Defstart"/>
      </w:pPr>
      <w:r>
        <w:rPr>
          <w:b/>
        </w:rPr>
        <w:tab/>
        <w:t>“</w:t>
      </w:r>
      <w:r>
        <w:rPr>
          <w:rStyle w:val="CharDefText"/>
        </w:rPr>
        <w:t>points</w:t>
      </w:r>
      <w:r>
        <w:rPr>
          <w:b/>
        </w:rPr>
        <w:t>”</w:t>
      </w:r>
      <w:r>
        <w:rPr>
          <w:bCs/>
        </w:rPr>
        <w:t>,</w:t>
      </w:r>
      <w:r>
        <w:t xml:space="preserve"> in respect of an approved educational activity, means the number of points specified in respect of that activity under regulation 4C(1);</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Heading5"/>
        <w:rPr>
          <w:snapToGrid w:val="0"/>
        </w:rPr>
      </w:pPr>
      <w:bookmarkStart w:id="4" w:name="_Toc191098756"/>
      <w:r>
        <w:rPr>
          <w:rStyle w:val="CharSectno"/>
        </w:rPr>
        <w:t>3</w:t>
      </w:r>
      <w:r>
        <w:rPr>
          <w:snapToGrid w:val="0"/>
        </w:rPr>
        <w:t>.</w:t>
      </w:r>
      <w:r>
        <w:rPr>
          <w:snapToGrid w:val="0"/>
        </w:rPr>
        <w:tab/>
        <w:t>Common seal</w:t>
      </w:r>
      <w:bookmarkEnd w:id="4"/>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5" w:name="_Toc191098757"/>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6" w:name="_Toc191098758"/>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The Board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w:t>
      </w:r>
    </w:p>
    <w:p>
      <w:pPr>
        <w:pStyle w:val="Heading5"/>
      </w:pPr>
      <w:bookmarkStart w:id="7" w:name="_Toc191098759"/>
      <w:r>
        <w:rPr>
          <w:rStyle w:val="CharSectno"/>
        </w:rPr>
        <w:t>4B</w:t>
      </w:r>
      <w:r>
        <w:t>.</w:t>
      </w:r>
      <w:r>
        <w:tab/>
        <w:t>Prescribed educational requirements — section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8" w:name="_Toc191098760"/>
      <w:r>
        <w:rPr>
          <w:rStyle w:val="CharSectno"/>
        </w:rPr>
        <w:t>4C</w:t>
      </w:r>
      <w:r>
        <w:t>.</w:t>
      </w:r>
      <w:r>
        <w:tab/>
        <w:t>Board to approve educational activities</w:t>
      </w:r>
      <w:bookmarkEnd w:id="8"/>
    </w:p>
    <w:p>
      <w:pPr>
        <w:pStyle w:val="Subsection"/>
      </w:pPr>
      <w:r>
        <w:tab/>
        <w:t>(1)</w:t>
      </w:r>
      <w:r>
        <w:tab/>
        <w:t>In respect of each calendar year, commencing with the calendar year beginning 1 January 2008, the Board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Board is to ensure that there is published on its website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Board approves one or more educational activity under subregulation (1)(b) it is to ensure that there is published on its website a notice setting out —</w:t>
      </w:r>
    </w:p>
    <w:p>
      <w:pPr>
        <w:pStyle w:val="Indenta"/>
      </w:pPr>
      <w:r>
        <w:tab/>
        <w:t>(a)</w:t>
      </w:r>
      <w:r>
        <w:tab/>
        <w:t>sufficient details to identify —</w:t>
      </w:r>
    </w:p>
    <w:p>
      <w:pPr>
        <w:pStyle w:val="Indenti"/>
      </w:pPr>
      <w:r>
        <w:tab/>
        <w:t>(i)</w:t>
      </w:r>
      <w:r>
        <w:tab/>
        <w:t>each activity approved; and</w:t>
      </w:r>
    </w:p>
    <w:p>
      <w:pPr>
        <w:pStyle w:val="Indenti"/>
      </w:pPr>
      <w:r>
        <w:tab/>
        <w:t>(ii)</w:t>
      </w:r>
      <w:r>
        <w:tab/>
        <w:t>the professional development subject to which the activity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The following types of educational activities that may be approved under subregulation (1) are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In subregulations (1) and (5) —</w:t>
      </w:r>
    </w:p>
    <w:p>
      <w:pPr>
        <w:pStyle w:val="Defstart"/>
      </w:pPr>
      <w:r>
        <w:rPr>
          <w:b/>
        </w:rPr>
        <w:tab/>
        <w:t>“</w:t>
      </w:r>
      <w:r>
        <w:rPr>
          <w:rStyle w:val="CharDefText"/>
        </w:rPr>
        <w:t>specified</w:t>
      </w:r>
      <w:r>
        <w:rPr>
          <w:b/>
        </w:rPr>
        <w:t>”</w:t>
      </w:r>
      <w:r>
        <w:t xml:space="preserve"> means specified by the Board in the notice published under subregulation (2) or (3).</w:t>
      </w:r>
    </w:p>
    <w:p>
      <w:pPr>
        <w:pStyle w:val="Subsection"/>
      </w:pPr>
      <w:r>
        <w:tab/>
        <w:t>(7)</w:t>
      </w:r>
      <w:r>
        <w:tab/>
        <w:t>An approval under subregulation (1) may apply in relation to all licensees to whom regulation 4B applies or to any class of such licensees.</w:t>
      </w:r>
    </w:p>
    <w:p>
      <w:pPr>
        <w:pStyle w:val="Footnotesection"/>
      </w:pPr>
      <w:r>
        <w:tab/>
        <w:t>[Regulation 4C inserted in Gazette 28 Dec 2007 p. 6409-10.]</w:t>
      </w:r>
    </w:p>
    <w:p>
      <w:pPr>
        <w:pStyle w:val="Heading5"/>
        <w:spacing w:before="120"/>
        <w:rPr>
          <w:snapToGrid w:val="0"/>
        </w:rPr>
      </w:pPr>
      <w:bookmarkStart w:id="9" w:name="_Toc191098761"/>
      <w:r>
        <w:rPr>
          <w:rStyle w:val="CharSectno"/>
        </w:rPr>
        <w:t>5</w:t>
      </w:r>
      <w:r>
        <w:rPr>
          <w:snapToGrid w:val="0"/>
        </w:rPr>
        <w:t>.</w:t>
      </w:r>
      <w:r>
        <w:rPr>
          <w:snapToGrid w:val="0"/>
        </w:rPr>
        <w:tab/>
        <w:t>Publication of notice of application</w:t>
      </w:r>
      <w:bookmarkEnd w:id="9"/>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spacing w:before="120"/>
      </w:pPr>
      <w:bookmarkStart w:id="10" w:name="_Toc191098762"/>
      <w:r>
        <w:rPr>
          <w:rStyle w:val="CharSectno"/>
        </w:rPr>
        <w:t>6</w:t>
      </w:r>
      <w:r>
        <w:t>.</w:t>
      </w:r>
      <w:r>
        <w:tab/>
      </w:r>
      <w:r>
        <w:rPr>
          <w:snapToGrid w:val="0"/>
        </w:rPr>
        <w:t>Examinations</w:t>
      </w:r>
      <w:bookmarkEnd w:id="10"/>
    </w:p>
    <w:p>
      <w:pPr>
        <w:pStyle w:val="Subsection"/>
      </w:pPr>
      <w:r>
        <w:tab/>
        <w:t>(1)</w:t>
      </w:r>
      <w:r>
        <w:tab/>
        <w:t>The prescribed examinations for the purposes of Schedule 1 clause 1(1)(a) are the examinations which are required by a public training provider or a registered training provider to be passed to complete —</w:t>
      </w:r>
    </w:p>
    <w:p>
      <w:pPr>
        <w:pStyle w:val="Indenta"/>
      </w:pPr>
      <w:r>
        <w:tab/>
        <w:t>(a)</w:t>
      </w:r>
      <w:r>
        <w:tab/>
        <w:t>a Diploma of Financial Services (Conveyancing); and</w:t>
      </w:r>
    </w:p>
    <w:p>
      <w:pPr>
        <w:pStyle w:val="Indenta"/>
      </w:pPr>
      <w:r>
        <w:tab/>
        <w:t>(b)</w:t>
      </w:r>
      <w:r>
        <w:tab/>
        <w:t>the following units —</w:t>
      </w:r>
    </w:p>
    <w:p>
      <w:pPr>
        <w:pStyle w:val="Indenti"/>
      </w:pPr>
      <w:r>
        <w:tab/>
        <w:t>(i)</w:t>
      </w:r>
      <w:r>
        <w:tab/>
        <w:t>FNSCONV601A: Obtain and analyse information;</w:t>
      </w:r>
    </w:p>
    <w:p>
      <w:pPr>
        <w:pStyle w:val="Indenti"/>
      </w:pPr>
      <w:r>
        <w:tab/>
        <w:t>(ii)</w:t>
      </w:r>
      <w:r>
        <w:tab/>
        <w:t>FNSCONV603A: Negotiate to achieve goals and manage disputes.</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Despite subregulations (1) and (2), until 30 June 2009 —</w:t>
      </w:r>
    </w:p>
    <w:p>
      <w:pPr>
        <w:pStyle w:val="Indenta"/>
      </w:pPr>
      <w:r>
        <w:tab/>
        <w:t>(a)</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as in force immediately before the coming into operation of the </w:t>
      </w:r>
      <w:r>
        <w:rPr>
          <w:i/>
          <w:iCs/>
        </w:rPr>
        <w:t>Settlement Agents Amendment Regulations (No. 2) 2007</w:t>
      </w:r>
      <w:r>
        <w:rPr>
          <w:snapToGrid w:val="0"/>
        </w:rPr>
        <w:t xml:space="preserve"> </w:t>
      </w:r>
      <w:r>
        <w:rPr>
          <w:snapToGrid w:val="0"/>
          <w:vertAlign w:val="superscript"/>
        </w:rPr>
        <w:t>1</w:t>
      </w:r>
      <w:r>
        <w:t xml:space="preserve"> and the examinations referred to in subregulation (2)(b) is, subject to the Act, qualified for the grant of a business settlement agent’s licence.</w:t>
      </w:r>
    </w:p>
    <w:p>
      <w:pPr>
        <w:pStyle w:val="Subsection"/>
      </w:pPr>
      <w:r>
        <w:tab/>
        <w:t>(3)</w:t>
      </w:r>
      <w:r>
        <w:tab/>
        <w:t>In this regulation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w:t>
      </w:r>
    </w:p>
    <w:p>
      <w:pPr>
        <w:pStyle w:val="Heading5"/>
      </w:pPr>
      <w:bookmarkStart w:id="11" w:name="_Toc191098763"/>
      <w:r>
        <w:rPr>
          <w:rStyle w:val="CharSectno"/>
        </w:rPr>
        <w:t>6AA</w:t>
      </w:r>
      <w:r>
        <w:rPr>
          <w:snapToGrid w:val="0"/>
        </w:rPr>
        <w:t>.</w:t>
      </w:r>
      <w:r>
        <w:rPr>
          <w:snapToGrid w:val="0"/>
        </w:rPr>
        <w:tab/>
        <w:t>Information to be included in agent’s authority to act</w:t>
      </w:r>
      <w:bookmarkEnd w:id="11"/>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2" w:name="_Toc191098764"/>
      <w:r>
        <w:rPr>
          <w:rStyle w:val="CharSectno"/>
        </w:rPr>
        <w:t>6A</w:t>
      </w:r>
      <w:r>
        <w:rPr>
          <w:snapToGrid w:val="0"/>
        </w:rPr>
        <w:t>.</w:t>
      </w:r>
      <w:r>
        <w:rPr>
          <w:snapToGrid w:val="0"/>
        </w:rPr>
        <w:tab/>
        <w:t>Definition of “authorised financial institution” — prescribed classes</w:t>
      </w:r>
      <w:bookmarkEnd w:id="12"/>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3" w:name="_Toc191098765"/>
      <w:r>
        <w:rPr>
          <w:rStyle w:val="CharSectno"/>
        </w:rPr>
        <w:t>6B</w:t>
      </w:r>
      <w:r>
        <w:rPr>
          <w:snapToGrid w:val="0"/>
        </w:rPr>
        <w:t>.</w:t>
      </w:r>
      <w:r>
        <w:rPr>
          <w:snapToGrid w:val="0"/>
        </w:rPr>
        <w:tab/>
        <w:t>Designation of trust accounts</w:t>
      </w:r>
      <w:bookmarkEnd w:id="13"/>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4" w:name="_Toc191098766"/>
      <w:r>
        <w:rPr>
          <w:rStyle w:val="CharSectno"/>
        </w:rPr>
        <w:t>6C</w:t>
      </w:r>
      <w:r>
        <w:rPr>
          <w:snapToGrid w:val="0"/>
        </w:rPr>
        <w:t>.</w:t>
      </w:r>
      <w:r>
        <w:rPr>
          <w:snapToGrid w:val="0"/>
        </w:rPr>
        <w:tab/>
        <w:t>Prescribed requirements for separate accounts</w:t>
      </w:r>
      <w:bookmarkEnd w:id="1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5" w:name="_Toc191098767"/>
      <w:r>
        <w:rPr>
          <w:rStyle w:val="CharSectno"/>
        </w:rPr>
        <w:t>6D</w:t>
      </w:r>
      <w:r>
        <w:rPr>
          <w:snapToGrid w:val="0"/>
        </w:rPr>
        <w:t>.</w:t>
      </w:r>
      <w:r>
        <w:rPr>
          <w:snapToGrid w:val="0"/>
        </w:rPr>
        <w:tab/>
        <w:t>Interest payable on trust accounts</w:t>
      </w:r>
      <w:bookmarkEnd w:id="15"/>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6" w:name="_Toc191098768"/>
      <w:r>
        <w:rPr>
          <w:rStyle w:val="CharSectno"/>
        </w:rPr>
        <w:t>6E</w:t>
      </w:r>
      <w:r>
        <w:t>.</w:t>
      </w:r>
      <w:r>
        <w:tab/>
        <w:t>Content of receipts</w:t>
      </w:r>
      <w:bookmarkEnd w:id="16"/>
    </w:p>
    <w:p>
      <w:pPr>
        <w:pStyle w:val="Subsection"/>
        <w:spacing w:before="100"/>
      </w:pPr>
      <w:r>
        <w:tab/>
      </w:r>
      <w:r>
        <w:tab/>
        <w:t>A receipt given under section 50(1)(a) of the Act shall contain the following information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[Regulation 6E inserted in Gazette 25 Jun 1996 p. 2927.]</w:t>
      </w:r>
    </w:p>
    <w:p>
      <w:pPr>
        <w:pStyle w:val="Heading5"/>
        <w:spacing w:before="120"/>
        <w:rPr>
          <w:snapToGrid w:val="0"/>
        </w:rPr>
      </w:pPr>
      <w:bookmarkStart w:id="17" w:name="_Toc191098769"/>
      <w:r>
        <w:rPr>
          <w:rStyle w:val="CharSectno"/>
        </w:rPr>
        <w:t>6F</w:t>
      </w:r>
      <w:r>
        <w:rPr>
          <w:snapToGrid w:val="0"/>
        </w:rPr>
        <w:t>.</w:t>
      </w:r>
      <w:r>
        <w:rPr>
          <w:snapToGrid w:val="0"/>
        </w:rPr>
        <w:tab/>
        <w:t>Records under section 50(1)(b)</w:t>
      </w:r>
      <w:bookmarkEnd w:id="17"/>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spacing w:before="100"/>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spacing w:before="100"/>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[Regulation 6F inserted in Gazette 25 Jun 1996 p. 2927.]</w:t>
      </w:r>
    </w:p>
    <w:p>
      <w:pPr>
        <w:pStyle w:val="Heading5"/>
        <w:rPr>
          <w:snapToGrid w:val="0"/>
        </w:rPr>
      </w:pPr>
      <w:bookmarkStart w:id="18" w:name="_Toc191098770"/>
      <w:r>
        <w:rPr>
          <w:rStyle w:val="CharSectno"/>
        </w:rPr>
        <w:t>7</w:t>
      </w:r>
      <w:r>
        <w:rPr>
          <w:snapToGrid w:val="0"/>
        </w:rPr>
        <w:t>.</w:t>
      </w:r>
      <w:r>
        <w:rPr>
          <w:snapToGrid w:val="0"/>
        </w:rPr>
        <w:tab/>
        <w:t>Particulars to be included in registers</w:t>
      </w:r>
      <w:bookmarkEnd w:id="18"/>
    </w:p>
    <w:p>
      <w:pPr>
        <w:pStyle w:val="Subsection"/>
        <w:rPr>
          <w:snapToGrid w:val="0"/>
        </w:rPr>
      </w:pPr>
      <w:r>
        <w:rPr>
          <w:snapToGrid w:val="0"/>
        </w:rPr>
        <w:tab/>
      </w:r>
      <w:r>
        <w:rPr>
          <w:snapToGrid w:val="0"/>
        </w:rPr>
        <w:tab/>
        <w:t>The particulars to be recorded, pursuant to section 110(2) of the Act, by the Registrar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w:t>
      </w:r>
    </w:p>
    <w:p>
      <w:pPr>
        <w:pStyle w:val="Heading5"/>
        <w:rPr>
          <w:snapToGrid w:val="0"/>
        </w:rPr>
      </w:pPr>
      <w:bookmarkStart w:id="19" w:name="_Toc191098771"/>
      <w:r>
        <w:rPr>
          <w:rStyle w:val="CharSectno"/>
        </w:rPr>
        <w:t>8</w:t>
      </w:r>
      <w:r>
        <w:rPr>
          <w:snapToGrid w:val="0"/>
        </w:rPr>
        <w:t>.</w:t>
      </w:r>
      <w:r>
        <w:rPr>
          <w:snapToGrid w:val="0"/>
        </w:rPr>
        <w:tab/>
        <w:t>Recovery of fees and costs</w:t>
      </w:r>
      <w:bookmarkEnd w:id="19"/>
    </w:p>
    <w:p>
      <w:pPr>
        <w:pStyle w:val="Subsection"/>
        <w:spacing w:before="100"/>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pPr>
      <w:bookmarkStart w:id="20" w:name="_Toc191098772"/>
      <w:r>
        <w:rPr>
          <w:rStyle w:val="CharSectno"/>
        </w:rPr>
        <w:t>9</w:t>
      </w:r>
      <w:r>
        <w:t>.</w:t>
      </w:r>
      <w:r>
        <w:tab/>
        <w:t>Application of Board Interest Account</w:t>
      </w:r>
      <w:bookmarkEnd w:id="20"/>
    </w:p>
    <w:p>
      <w:pPr>
        <w:pStyle w:val="Subsection"/>
      </w:pPr>
      <w:r>
        <w:tab/>
      </w:r>
      <w:r>
        <w:tab/>
        <w:t>For the purposes of section 105 of the Act moneys standing to the credit of the Account are to be applied monthly before the end of each month.</w:t>
      </w:r>
    </w:p>
    <w:p>
      <w:pPr>
        <w:pStyle w:val="Footnotesection"/>
      </w:pPr>
      <w:r>
        <w:tab/>
        <w:t>[Regulation 9 inserted in Gazette 6 Feb 2007 p. 310.]</w:t>
      </w:r>
    </w:p>
    <w:p>
      <w:pPr>
        <w:pStyle w:val="Heading5"/>
        <w:rPr>
          <w:snapToGrid w:val="0"/>
        </w:rPr>
      </w:pPr>
      <w:bookmarkStart w:id="21" w:name="_Toc191098773"/>
      <w:r>
        <w:rPr>
          <w:rStyle w:val="CharSectno"/>
        </w:rPr>
        <w:t>10</w:t>
      </w:r>
      <w:r>
        <w:rPr>
          <w:snapToGrid w:val="0"/>
        </w:rPr>
        <w:t>.</w:t>
      </w:r>
      <w:r>
        <w:rPr>
          <w:snapToGrid w:val="0"/>
        </w:rPr>
        <w:tab/>
        <w:t>Claims against the Fidelity Guarantee Account</w:t>
      </w:r>
      <w:bookmarkEnd w:id="21"/>
    </w:p>
    <w:p>
      <w:pPr>
        <w:pStyle w:val="Subsection"/>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pPr>
      <w:r>
        <w:tab/>
        <w:t>[Regulation 10 amended in Gazette 26 Oct 2007 p. 5651.]</w:t>
      </w:r>
    </w:p>
    <w:p>
      <w:pPr>
        <w:pStyle w:val="Heading5"/>
        <w:rPr>
          <w:snapToGrid w:val="0"/>
        </w:rPr>
      </w:pPr>
      <w:bookmarkStart w:id="22" w:name="_Toc191098774"/>
      <w:r>
        <w:rPr>
          <w:rStyle w:val="CharSectno"/>
        </w:rPr>
        <w:t>11</w:t>
      </w:r>
      <w:r>
        <w:rPr>
          <w:snapToGrid w:val="0"/>
        </w:rPr>
        <w:t>.</w:t>
      </w:r>
      <w:r>
        <w:rPr>
          <w:snapToGrid w:val="0"/>
        </w:rPr>
        <w:tab/>
        <w:t>Documents that a real estate settlement agent may draw etc.</w:t>
      </w:r>
      <w:bookmarkEnd w:id="22"/>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23" w:name="_Toc191098775"/>
      <w:r>
        <w:rPr>
          <w:rStyle w:val="CharSectno"/>
        </w:rPr>
        <w:t>12</w:t>
      </w:r>
      <w:r>
        <w:rPr>
          <w:snapToGrid w:val="0"/>
        </w:rPr>
        <w:t>.</w:t>
      </w:r>
      <w:r>
        <w:rPr>
          <w:snapToGrid w:val="0"/>
        </w:rPr>
        <w:tab/>
        <w:t>Documents that a business settlement agent may draw etc.</w:t>
      </w:r>
      <w:bookmarkEnd w:id="23"/>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24" w:name="_Toc191098776"/>
      <w:r>
        <w:rPr>
          <w:rStyle w:val="CharSectno"/>
        </w:rPr>
        <w:t>12A</w:t>
      </w:r>
      <w:r>
        <w:rPr>
          <w:snapToGrid w:val="0"/>
        </w:rPr>
        <w:t>.</w:t>
      </w:r>
      <w:r>
        <w:rPr>
          <w:snapToGrid w:val="0"/>
        </w:rPr>
        <w:tab/>
        <w:t>Power of attorney</w:t>
      </w:r>
      <w:bookmarkEnd w:id="24"/>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5" w:name="_Toc191098777"/>
      <w:r>
        <w:rPr>
          <w:rStyle w:val="CharSectno"/>
        </w:rPr>
        <w:t>13</w:t>
      </w:r>
      <w:r>
        <w:rPr>
          <w:snapToGrid w:val="0"/>
        </w:rPr>
        <w:t>.</w:t>
      </w:r>
      <w:r>
        <w:rPr>
          <w:snapToGrid w:val="0"/>
        </w:rPr>
        <w:tab/>
        <w:t>Warning notice by certain exempted persons</w:t>
      </w:r>
      <w:bookmarkEnd w:id="25"/>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6" w:name="_Toc191098778"/>
      <w:r>
        <w:rPr>
          <w:rStyle w:val="CharSectno"/>
        </w:rPr>
        <w:t>14</w:t>
      </w:r>
      <w:r>
        <w:rPr>
          <w:snapToGrid w:val="0"/>
        </w:rPr>
        <w:t>.</w:t>
      </w:r>
      <w:r>
        <w:rPr>
          <w:snapToGrid w:val="0"/>
        </w:rPr>
        <w:tab/>
        <w:t>Absence of licensee</w:t>
      </w:r>
      <w:bookmarkEnd w:id="26"/>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The Board may refuse to grant approval under subregulation (1)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[Regulation 14 inserted in Gazette 30 Mar 1984 p. 910; Erratum in Gazette 6 Apr 1984 p. 998.]</w:t>
      </w:r>
    </w:p>
    <w:p>
      <w:pPr>
        <w:pStyle w:val="Heading5"/>
      </w:pPr>
      <w:bookmarkStart w:id="27" w:name="_Toc191098779"/>
      <w:r>
        <w:rPr>
          <w:rStyle w:val="CharSectno"/>
        </w:rPr>
        <w:t>15</w:t>
      </w:r>
      <w:r>
        <w:t>.</w:t>
      </w:r>
      <w:r>
        <w:tab/>
        <w:t>Infringement notices</w:t>
      </w:r>
      <w:bookmarkEnd w:id="27"/>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28" w:name="_Toc191098780"/>
      <w:r>
        <w:rPr>
          <w:rStyle w:val="CharSectno"/>
        </w:rPr>
        <w:t>16</w:t>
      </w:r>
      <w:r>
        <w:t>.</w:t>
      </w:r>
      <w:r>
        <w:tab/>
        <w:t>Forms</w:t>
      </w:r>
      <w:bookmarkEnd w:id="28"/>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9" w:name="_Toc189887855"/>
      <w:bookmarkStart w:id="30" w:name="_Toc191098781"/>
      <w:r>
        <w:rPr>
          <w:rStyle w:val="CharSchNo"/>
        </w:rPr>
        <w:t>Schedule 1</w:t>
      </w:r>
      <w:r>
        <w:t> — </w:t>
      </w:r>
      <w:r>
        <w:rPr>
          <w:rStyle w:val="CharSchText"/>
        </w:rPr>
        <w:t>Prescribed fees</w:t>
      </w:r>
      <w:bookmarkEnd w:id="29"/>
      <w:bookmarkEnd w:id="30"/>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783" w:hanging="783"/>
            </w:pPr>
            <w:r>
              <w:tab/>
              <w:t>first page ............................................................................</w:t>
            </w:r>
          </w:p>
        </w:tc>
        <w:tc>
          <w:tcPr>
            <w:tcW w:w="984" w:type="dxa"/>
            <w:vAlign w:val="bottom"/>
          </w:tcPr>
          <w:p>
            <w:pPr>
              <w:pStyle w:val="yTable"/>
              <w:tabs>
                <w:tab w:val="right" w:pos="567"/>
              </w:tabs>
            </w:pPr>
            <w:r>
              <w:tab/>
              <w:t>20</w:t>
            </w:r>
          </w:p>
        </w:tc>
      </w:tr>
      <w:tr>
        <w:tc>
          <w:tcPr>
            <w:tcW w:w="6096" w:type="dxa"/>
          </w:tcPr>
          <w:p>
            <w:pPr>
              <w:pStyle w:val="yTable"/>
              <w:ind w:left="783" w:hanging="783"/>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pPr>
      <w:bookmarkStart w:id="31" w:name="_Toc189887856"/>
      <w:bookmarkStart w:id="32" w:name="_Toc191098782"/>
      <w:r>
        <w:rPr>
          <w:rStyle w:val="CharSchNo"/>
        </w:rPr>
        <w:t>Schedule 1A</w:t>
      </w:r>
      <w:r>
        <w:rPr>
          <w:rStyle w:val="CharSDivNo"/>
        </w:rPr>
        <w:t> </w:t>
      </w:r>
      <w:r>
        <w:t>—</w:t>
      </w:r>
      <w:r>
        <w:rPr>
          <w:rStyle w:val="CharSDivText"/>
        </w:rPr>
        <w:t> </w:t>
      </w:r>
      <w:r>
        <w:rPr>
          <w:rStyle w:val="CharSchText"/>
        </w:rPr>
        <w:t>Professional development subjects</w:t>
      </w:r>
      <w:bookmarkEnd w:id="31"/>
      <w:bookmarkEnd w:id="32"/>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33" w:name="_Toc189887857"/>
      <w:bookmarkStart w:id="34" w:name="_Toc191098783"/>
      <w:r>
        <w:rPr>
          <w:rStyle w:val="CharSchNo"/>
        </w:rPr>
        <w:t>Schedule 2</w:t>
      </w:r>
      <w:r>
        <w:t> — </w:t>
      </w:r>
      <w:r>
        <w:rPr>
          <w:rStyle w:val="CharSchText"/>
        </w:rPr>
        <w:t>Notice under section 26A or 26B of the Act</w:t>
      </w:r>
      <w:bookmarkEnd w:id="33"/>
      <w:bookmarkEnd w:id="34"/>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35" w:name="_Toc189887858"/>
      <w:bookmarkStart w:id="36" w:name="_Toc191098784"/>
      <w:r>
        <w:rPr>
          <w:rStyle w:val="CharSchNo"/>
        </w:rPr>
        <w:t>Schedule 3</w:t>
      </w:r>
      <w:r>
        <w:t> — </w:t>
      </w:r>
      <w:r>
        <w:rPr>
          <w:rStyle w:val="CharSchText"/>
        </w:rPr>
        <w:t>Documents that a real estate settlement agent may draw or prepare</w:t>
      </w:r>
      <w:bookmarkEnd w:id="35"/>
      <w:bookmarkEnd w:id="36"/>
    </w:p>
    <w:p>
      <w:pPr>
        <w:pStyle w:val="yFootnoteheading"/>
      </w:pPr>
      <w:r>
        <w:tab/>
        <w:t>[Heading inserted in Gazette 23 May 1997 p. 2421.]</w:t>
      </w:r>
    </w:p>
    <w:p>
      <w:pPr>
        <w:pStyle w:val="yShoulderClause"/>
        <w:rPr>
          <w:snapToGrid w:val="0"/>
        </w:rPr>
      </w:pPr>
      <w:r>
        <w:rPr>
          <w:snapToGrid w:val="0"/>
        </w:rPr>
        <w:t>[Reg. 11]</w:t>
      </w:r>
    </w:p>
    <w:p>
      <w:pPr>
        <w:pStyle w:val="yHeading3"/>
        <w:rPr>
          <w:snapToGrid w:val="0"/>
        </w:rPr>
      </w:pPr>
      <w:bookmarkStart w:id="37" w:name="_Toc189887859"/>
      <w:bookmarkStart w:id="38" w:name="_Toc191098785"/>
      <w:r>
        <w:rPr>
          <w:snapToGrid w:val="0"/>
        </w:rPr>
        <w:t>Part A — Offer and acceptance</w:t>
      </w:r>
      <w:bookmarkEnd w:id="37"/>
      <w:bookmarkEnd w:id="38"/>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39" w:name="_Toc189887860"/>
      <w:bookmarkStart w:id="40" w:name="_Toc191098786"/>
      <w:r>
        <w:rPr>
          <w:snapToGrid w:val="0"/>
        </w:rPr>
        <w:t>Part B — Requisitions on title</w:t>
      </w:r>
      <w:bookmarkEnd w:id="39"/>
      <w:bookmarkEnd w:id="40"/>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41" w:name="_Toc189887861"/>
      <w:bookmarkStart w:id="42" w:name="_Toc191098787"/>
      <w:r>
        <w:rPr>
          <w:snapToGrid w:val="0"/>
        </w:rPr>
        <w:t>Part C — Documents for registration or lodgement</w:t>
      </w:r>
      <w:bookmarkEnd w:id="41"/>
      <w:bookmarkEnd w:id="42"/>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43" w:name="_Toc189887862"/>
      <w:bookmarkStart w:id="44" w:name="_Toc191098788"/>
      <w:r>
        <w:rPr>
          <w:rStyle w:val="CharSchNo"/>
        </w:rPr>
        <w:t>Schedule 4</w:t>
      </w:r>
      <w:r>
        <w:t> — </w:t>
      </w:r>
      <w:r>
        <w:rPr>
          <w:rStyle w:val="CharSchText"/>
        </w:rPr>
        <w:t>Documents that a business settlement agent may draw or prepare</w:t>
      </w:r>
      <w:bookmarkEnd w:id="43"/>
      <w:bookmarkEnd w:id="44"/>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[Schedule 4 inserted in Gazette 23 May 1997 p. 2424.]</w:t>
      </w:r>
    </w:p>
    <w:p>
      <w:pPr>
        <w:pStyle w:val="yScheduleHeading"/>
      </w:pPr>
      <w:bookmarkStart w:id="45" w:name="_Toc189887863"/>
      <w:bookmarkStart w:id="46" w:name="_Toc191098789"/>
      <w:r>
        <w:rPr>
          <w:rStyle w:val="CharSchNo"/>
        </w:rPr>
        <w:t>Schedule 5</w:t>
      </w:r>
      <w:r>
        <w:t> — </w:t>
      </w:r>
      <w:r>
        <w:rPr>
          <w:rStyle w:val="CharSchText"/>
        </w:rPr>
        <w:t>Prescribed offences and modified penalties</w:t>
      </w:r>
      <w:bookmarkEnd w:id="45"/>
      <w:bookmarkEnd w:id="46"/>
    </w:p>
    <w:p>
      <w:pPr>
        <w:pStyle w:val="yShoulderClause"/>
      </w:pPr>
      <w:r>
        <w:t>[r. 15]</w:t>
      </w:r>
    </w:p>
    <w:p>
      <w:pPr>
        <w:pStyle w:val="yFootnoteheading"/>
      </w:pPr>
      <w:r>
        <w:tab/>
        <w:t>[Heading inserted in Gazette 22 Sep 2006 p. 4131.]</w:t>
      </w:r>
    </w:p>
    <w:tbl>
      <w:tblPr>
        <w:tblW w:w="0" w:type="auto"/>
        <w:tblInd w:w="57" w:type="dxa"/>
        <w:tblLayout w:type="fixed"/>
        <w:tblCellMar>
          <w:left w:w="57" w:type="dxa"/>
          <w:right w:w="57" w:type="dxa"/>
        </w:tblCellMar>
        <w:tblLook w:val="0000" w:firstRow="0" w:lastRow="0" w:firstColumn="0" w:lastColumn="0" w:noHBand="0" w:noVBand="0"/>
      </w:tblPr>
      <w:tblGrid>
        <w:gridCol w:w="1560"/>
        <w:gridCol w:w="4345"/>
        <w:gridCol w:w="992"/>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560"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560"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47" w:name="_Toc189887864"/>
      <w:bookmarkStart w:id="48" w:name="_Toc191098790"/>
      <w:r>
        <w:rPr>
          <w:rStyle w:val="CharSchNo"/>
        </w:rPr>
        <w:t>Schedule 6</w:t>
      </w:r>
      <w:r>
        <w:t> — </w:t>
      </w:r>
      <w:r>
        <w:rPr>
          <w:rStyle w:val="CharSchText"/>
        </w:rPr>
        <w:t>Forms</w:t>
      </w:r>
      <w:bookmarkEnd w:id="47"/>
      <w:bookmarkEnd w:id="48"/>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49" w:name="_Toc191098791"/>
      <w:r>
        <w:t>Form 1 — Infringement notice</w:t>
      </w:r>
      <w:bookmarkEnd w:id="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662"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to:</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Settlement Agents Supervisory Board</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w:t>
            </w:r>
          </w:p>
          <w:p>
            <w:pPr>
              <w:pStyle w:val="yTable"/>
              <w:spacing w:before="0"/>
              <w:ind w:left="601"/>
              <w:rPr>
                <w:sz w:val="20"/>
              </w:rPr>
            </w:pPr>
            <w:r>
              <w:rPr>
                <w:sz w:val="20"/>
              </w:rPr>
              <w:t>Settlement Agents Supervisory Board</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your driver’s licence and/or vehicle licence may be suspended.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spacing w:after="40"/>
        <w:outlineLvl w:val="9"/>
      </w:pPr>
      <w:bookmarkStart w:id="50" w:name="_Toc191098792"/>
      <w:r>
        <w:t>Form 2 — Withdrawal of infringement notice</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pStyle w:val="CentredBaseLine"/>
        <w:jc w:val="center"/>
      </w:pPr>
      <w:r>
        <w:rPr>
          <w:noProof/>
          <w:lang w:eastAsia="en-AU"/>
        </w:rPr>
        <w:drawing>
          <wp:inline distT="0" distB="0" distL="0" distR="0">
            <wp:extent cx="935355" cy="168910"/>
            <wp:effectExtent l="0" t="0" r="0" b="254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1" w:name="_Toc189887867"/>
      <w:bookmarkStart w:id="52" w:name="_Toc191098793"/>
      <w:r>
        <w:t>Notes</w:t>
      </w:r>
      <w:bookmarkEnd w:id="51"/>
      <w:bookmarkEnd w:id="52"/>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31 January 2008</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Settlement Agents Regulations 1982</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 w:name="_Toc191098794"/>
      <w:r>
        <w:t>Compilation table</w:t>
      </w:r>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bl>
    <w:p>
      <w:pPr>
        <w:pStyle w:val="nSubsection"/>
      </w:pPr>
      <w:r>
        <w:rPr>
          <w:vertAlign w:val="superscript"/>
        </w:rPr>
        <w:t>2</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32"/>
          <w:headerReference w:type="default" r:id="rId33"/>
          <w:pgSz w:w="11906" w:h="16838" w:code="9"/>
          <w:pgMar w:top="2376" w:right="2404" w:bottom="3544" w:left="2404" w:header="720" w:footer="3380" w:gutter="0"/>
          <w:cols w:space="720"/>
          <w:noEndnote/>
          <w:docGrid w:linePitch="326"/>
        </w:sectPr>
      </w:pPr>
    </w:p>
    <w:p>
      <w:pPr>
        <w:pStyle w:val="nHeading2"/>
        <w:rPr>
          <w:sz w:val="28"/>
        </w:rPr>
      </w:pPr>
      <w:bookmarkStart w:id="54" w:name="_Toc189887869"/>
      <w:bookmarkStart w:id="55" w:name="_Toc191098795"/>
      <w:r>
        <w:rPr>
          <w:sz w:val="28"/>
        </w:rPr>
        <w:t>Defined Terms</w:t>
      </w:r>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 w:name="DefinedTerms"/>
      <w:bookmarkEnd w:id="56"/>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pPr>
    </w:p>
    <w:p>
      <w:pPr>
        <w:pStyle w:val="DefinedTerms"/>
      </w:pPr>
    </w:p>
    <w:p>
      <w:pPr>
        <w:sectPr>
          <w:headerReference w:type="even" r:id="rId34"/>
          <w:headerReference w:type="default" r:id="rId35"/>
          <w:footerReference w:type="even"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Prescribed fees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Prescribed 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vAlign w:val="bottom"/>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rPr>
        <w:cantSplit/>
      </w:trP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023"/>
    <w:docVar w:name="WAFER_20151210115023" w:val="RemoveTrackChanges"/>
    <w:docVar w:name="WAFER_20151210115023_GUID" w:val="a86769a7-46f9-41fa-a715-519bee7825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7597</Words>
  <Characters>37607</Characters>
  <Application>Microsoft Office Word</Application>
  <DocSecurity>0</DocSecurity>
  <Lines>1253</Lines>
  <Paragraphs>837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44367</CharactersWithSpaces>
  <SharedDoc>false</SharedDoc>
  <HLinks>
    <vt:vector size="18" baseType="variant">
      <vt:variant>
        <vt:i4>3014716</vt:i4>
      </vt:variant>
      <vt:variant>
        <vt:i4>4187</vt:i4>
      </vt:variant>
      <vt:variant>
        <vt:i4>1025</vt:i4>
      </vt:variant>
      <vt:variant>
        <vt:i4>1</vt:i4>
      </vt:variant>
      <vt:variant>
        <vt:lpwstr>C:\Program Files\PCO DLL\Support\Crest.wpg</vt:lpwstr>
      </vt:variant>
      <vt:variant>
        <vt:lpwstr/>
      </vt:variant>
      <vt:variant>
        <vt:i4>5439608</vt:i4>
      </vt:variant>
      <vt:variant>
        <vt:i4>40681</vt:i4>
      </vt:variant>
      <vt:variant>
        <vt:i4>1028</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1982 - 04-a0-02</dc:title>
  <dc:subject/>
  <dc:creator/>
  <cp:keywords/>
  <dc:description/>
  <cp:lastModifiedBy>svcMRProcess</cp:lastModifiedBy>
  <cp:revision>4</cp:revision>
  <cp:lastPrinted>2008-02-08T04:03:00Z</cp:lastPrinted>
  <dcterms:created xsi:type="dcterms:W3CDTF">2018-09-15T23:20:00Z</dcterms:created>
  <dcterms:modified xsi:type="dcterms:W3CDTF">2018-09-15T23:20:00Z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20080201</vt:lpwstr>
  </property>
  <property fmtid="{D5CDD505-2E9C-101B-9397-08002B2CF9AE}" pid="6" name="AsAtDate">
    <vt:lpwstr>01 Feb 2008</vt:lpwstr>
  </property>
  <property fmtid="{D5CDD505-2E9C-101B-9397-08002B2CF9AE}" pid="7" name="Suffix">
    <vt:lpwstr>04-a0-02</vt:lpwstr>
  </property>
  <property fmtid="{D5CDD505-2E9C-101B-9397-08002B2CF9AE}" pid="8" name="ReprintedAsAt">
    <vt:filetime>2008-01-31T15:00:00Z</vt:filetime>
  </property>
  <property fmtid="{D5CDD505-2E9C-101B-9397-08002B2CF9AE}" pid="9" name="ReprintNo">
    <vt:lpwstr>4</vt:lpwstr>
  </property>
</Properties>
</file>