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(General)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(General)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_Toc191981067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_Toc191981068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_Toc191981069 \h </w:instrText>
      </w:r>
      <w:r>
        <w:fldChar w:fldCharType="separate"/>
      </w:r>
      <w:r>
        <w:t>1</w:t>
      </w:r>
      <w:r>
        <w:fldChar w:fldCharType="end"/>
      </w:r>
    </w:p>
    <w:p>
      <w:pPr>
        <w:pStyle w:val="TOC2"/>
        <w:tabs>
          <w:tab w:val="right" w:leader="dot" w:pos="7086"/>
        </w:tabs>
        <w:rPr>
          <w:b w:val="0"/>
          <w:sz w:val="24"/>
          <w:szCs w:val="24"/>
        </w:rPr>
      </w:pPr>
      <w:r>
        <w:rPr>
          <w:szCs w:val="30"/>
        </w:rPr>
        <w:t>Part 2 — Matters for the Act Parts 1 and 2</w:t>
      </w:r>
    </w:p>
    <w:p>
      <w:pPr>
        <w:pStyle w:val="TOC8"/>
        <w:rPr>
          <w:sz w:val="24"/>
          <w:szCs w:val="24"/>
        </w:rPr>
      </w:pPr>
      <w:r>
        <w:rPr>
          <w:szCs w:val="24"/>
        </w:rPr>
        <w:t>4.</w:t>
      </w:r>
      <w:r>
        <w:rPr>
          <w:szCs w:val="24"/>
        </w:rPr>
        <w:tab/>
        <w:t>“Dangerous goods” prescribed (Act s. 3(1)(a))</w:t>
      </w:r>
      <w:r>
        <w:tab/>
      </w:r>
      <w:r>
        <w:fldChar w:fldCharType="begin"/>
      </w:r>
      <w:r>
        <w:instrText xml:space="preserve"> PAGEREF _Toc191981071 \h </w:instrText>
      </w:r>
      <w:r>
        <w:fldChar w:fldCharType="separate"/>
      </w:r>
      <w:r>
        <w:t>3</w:t>
      </w:r>
      <w:r>
        <w:fldChar w:fldCharType="end"/>
      </w:r>
    </w:p>
    <w:p>
      <w:pPr>
        <w:pStyle w:val="TOC8"/>
        <w:rPr>
          <w:sz w:val="24"/>
          <w:szCs w:val="24"/>
        </w:rPr>
      </w:pPr>
      <w:r>
        <w:rPr>
          <w:szCs w:val="24"/>
        </w:rPr>
        <w:t>5.</w:t>
      </w:r>
      <w:r>
        <w:rPr>
          <w:szCs w:val="24"/>
        </w:rPr>
        <w:tab/>
        <w:t>“Dangerous goods”, how Chief Officer determines (Act s. 3(1)(b))</w:t>
      </w:r>
      <w:r>
        <w:tab/>
      </w:r>
      <w:r>
        <w:fldChar w:fldCharType="begin"/>
      </w:r>
      <w:r>
        <w:instrText xml:space="preserve"> PAGEREF _Toc191981072 \h </w:instrText>
      </w:r>
      <w:r>
        <w:fldChar w:fldCharType="separate"/>
      </w:r>
      <w:r>
        <w:t>5</w:t>
      </w:r>
      <w:r>
        <w:fldChar w:fldCharType="end"/>
      </w:r>
    </w:p>
    <w:p>
      <w:pPr>
        <w:pStyle w:val="TOC8"/>
        <w:rPr>
          <w:sz w:val="24"/>
          <w:szCs w:val="24"/>
        </w:rPr>
      </w:pPr>
      <w:r>
        <w:rPr>
          <w:szCs w:val="24"/>
        </w:rPr>
        <w:t>6.</w:t>
      </w:r>
      <w:r>
        <w:rPr>
          <w:szCs w:val="24"/>
        </w:rPr>
        <w:tab/>
        <w:t>Goods too dangerous to transport (Act s. 16)</w:t>
      </w:r>
      <w:r>
        <w:tab/>
      </w:r>
      <w:r>
        <w:fldChar w:fldCharType="begin"/>
      </w:r>
      <w:r>
        <w:instrText xml:space="preserve"> PAGEREF _Toc191981073 \h </w:instrText>
      </w:r>
      <w:r>
        <w:fldChar w:fldCharType="separate"/>
      </w:r>
      <w:r>
        <w:t>5</w:t>
      </w:r>
      <w:r>
        <w:fldChar w:fldCharType="end"/>
      </w:r>
    </w:p>
    <w:p>
      <w:pPr>
        <w:pStyle w:val="TOC2"/>
        <w:tabs>
          <w:tab w:val="right" w:leader="dot" w:pos="7086"/>
        </w:tabs>
        <w:rPr>
          <w:b w:val="0"/>
          <w:sz w:val="24"/>
          <w:szCs w:val="24"/>
        </w:rPr>
      </w:pPr>
      <w:r>
        <w:rPr>
          <w:szCs w:val="30"/>
        </w:rPr>
        <w:t>Part 3 — Matters for the Act Part 4</w:t>
      </w:r>
    </w:p>
    <w:p>
      <w:pPr>
        <w:pStyle w:val="TOC8"/>
        <w:rPr>
          <w:sz w:val="24"/>
          <w:szCs w:val="24"/>
        </w:rPr>
      </w:pPr>
      <w:r>
        <w:rPr>
          <w:szCs w:val="24"/>
        </w:rPr>
        <w:t>7.</w:t>
      </w:r>
      <w:r>
        <w:rPr>
          <w:szCs w:val="24"/>
        </w:rPr>
        <w:tab/>
        <w:t>Applying for an exemption</w:t>
      </w:r>
      <w:r>
        <w:tab/>
      </w:r>
      <w:r>
        <w:fldChar w:fldCharType="begin"/>
      </w:r>
      <w:r>
        <w:instrText xml:space="preserve"> PAGEREF _Toc191981075 \h </w:instrText>
      </w:r>
      <w:r>
        <w:fldChar w:fldCharType="separate"/>
      </w:r>
      <w:r>
        <w:t>7</w:t>
      </w:r>
      <w:r>
        <w:fldChar w:fldCharType="end"/>
      </w:r>
    </w:p>
    <w:p>
      <w:pPr>
        <w:pStyle w:val="TOC8"/>
        <w:rPr>
          <w:sz w:val="24"/>
          <w:szCs w:val="24"/>
        </w:rPr>
      </w:pPr>
      <w:r>
        <w:rPr>
          <w:szCs w:val="24"/>
        </w:rPr>
        <w:t>8.</w:t>
      </w:r>
      <w:r>
        <w:rPr>
          <w:szCs w:val="24"/>
        </w:rPr>
        <w:tab/>
        <w:t>Dealing with an application for an exemption</w:t>
      </w:r>
      <w:r>
        <w:tab/>
      </w:r>
      <w:r>
        <w:fldChar w:fldCharType="begin"/>
      </w:r>
      <w:r>
        <w:instrText xml:space="preserve"> PAGEREF _Toc191981076 \h </w:instrText>
      </w:r>
      <w:r>
        <w:fldChar w:fldCharType="separate"/>
      </w:r>
      <w:r>
        <w:t>8</w:t>
      </w:r>
      <w:r>
        <w:fldChar w:fldCharType="end"/>
      </w:r>
    </w:p>
    <w:p>
      <w:pPr>
        <w:pStyle w:val="TOC8"/>
        <w:rPr>
          <w:sz w:val="24"/>
          <w:szCs w:val="24"/>
        </w:rPr>
      </w:pPr>
      <w:r>
        <w:rPr>
          <w:szCs w:val="24"/>
        </w:rPr>
        <w:t>9.</w:t>
      </w:r>
      <w:r>
        <w:rPr>
          <w:szCs w:val="24"/>
        </w:rPr>
        <w:tab/>
        <w:t>Register of exemptions</w:t>
      </w:r>
      <w:r>
        <w:tab/>
      </w:r>
      <w:r>
        <w:fldChar w:fldCharType="begin"/>
      </w:r>
      <w:r>
        <w:instrText xml:space="preserve"> PAGEREF _Toc191981077 \h </w:instrText>
      </w:r>
      <w:r>
        <w:fldChar w:fldCharType="separate"/>
      </w:r>
      <w:r>
        <w:t>8</w:t>
      </w:r>
      <w:r>
        <w:fldChar w:fldCharType="end"/>
      </w:r>
    </w:p>
    <w:p>
      <w:pPr>
        <w:pStyle w:val="TOC2"/>
        <w:tabs>
          <w:tab w:val="right" w:leader="dot" w:pos="7086"/>
        </w:tabs>
        <w:rPr>
          <w:b w:val="0"/>
          <w:sz w:val="24"/>
          <w:szCs w:val="24"/>
        </w:rPr>
      </w:pPr>
      <w:r>
        <w:rPr>
          <w:szCs w:val="30"/>
        </w:rPr>
        <w:t>Part 4 — Matters for the Act Part 5</w:t>
      </w:r>
    </w:p>
    <w:p>
      <w:pPr>
        <w:pStyle w:val="TOC8"/>
        <w:rPr>
          <w:sz w:val="24"/>
          <w:szCs w:val="24"/>
        </w:rPr>
      </w:pPr>
      <w:r>
        <w:rPr>
          <w:szCs w:val="24"/>
        </w:rPr>
        <w:t>10.</w:t>
      </w:r>
      <w:r>
        <w:rPr>
          <w:szCs w:val="24"/>
        </w:rPr>
        <w:tab/>
        <w:t>Identity cards, prescribed details (Act s. 28)</w:t>
      </w:r>
      <w:r>
        <w:tab/>
      </w:r>
      <w:r>
        <w:fldChar w:fldCharType="begin"/>
      </w:r>
      <w:r>
        <w:instrText xml:space="preserve"> PAGEREF _Toc191981079 \h </w:instrText>
      </w:r>
      <w:r>
        <w:fldChar w:fldCharType="separate"/>
      </w:r>
      <w:r>
        <w:t>10</w:t>
      </w:r>
      <w:r>
        <w:fldChar w:fldCharType="end"/>
      </w:r>
    </w:p>
    <w:p>
      <w:pPr>
        <w:pStyle w:val="TOC2"/>
        <w:tabs>
          <w:tab w:val="right" w:leader="dot" w:pos="7086"/>
        </w:tabs>
        <w:rPr>
          <w:b w:val="0"/>
          <w:sz w:val="24"/>
          <w:szCs w:val="24"/>
        </w:rPr>
      </w:pPr>
      <w:r>
        <w:rPr>
          <w:szCs w:val="30"/>
        </w:rPr>
        <w:t>Part 5 — Infringement notices</w:t>
      </w:r>
    </w:p>
    <w:p>
      <w:pPr>
        <w:pStyle w:val="TOC8"/>
        <w:rPr>
          <w:sz w:val="24"/>
          <w:szCs w:val="24"/>
        </w:rPr>
      </w:pPr>
      <w:r>
        <w:rPr>
          <w:szCs w:val="24"/>
        </w:rPr>
        <w:t>11.</w:t>
      </w:r>
      <w:r>
        <w:rPr>
          <w:szCs w:val="24"/>
        </w:rPr>
        <w:tab/>
        <w:t>Prescribed offences (Act s. 56)</w:t>
      </w:r>
      <w:r>
        <w:tab/>
      </w:r>
      <w:r>
        <w:fldChar w:fldCharType="begin"/>
      </w:r>
      <w:r>
        <w:instrText xml:space="preserve"> PAGEREF _Toc191981081 \h </w:instrText>
      </w:r>
      <w:r>
        <w:fldChar w:fldCharType="separate"/>
      </w:r>
      <w:r>
        <w:t>11</w:t>
      </w:r>
      <w:r>
        <w:fldChar w:fldCharType="end"/>
      </w:r>
    </w:p>
    <w:p>
      <w:pPr>
        <w:pStyle w:val="TOC8"/>
        <w:rPr>
          <w:sz w:val="24"/>
          <w:szCs w:val="24"/>
        </w:rPr>
      </w:pPr>
      <w:r>
        <w:rPr>
          <w:szCs w:val="24"/>
        </w:rPr>
        <w:t>12.</w:t>
      </w:r>
      <w:r>
        <w:rPr>
          <w:szCs w:val="24"/>
        </w:rPr>
        <w:tab/>
        <w:t>Infringement notice, form of (Act s. 56)</w:t>
      </w:r>
      <w:r>
        <w:tab/>
      </w:r>
      <w:r>
        <w:fldChar w:fldCharType="begin"/>
      </w:r>
      <w:r>
        <w:instrText xml:space="preserve"> PAGEREF _Toc191981082 \h </w:instrText>
      </w:r>
      <w:r>
        <w:fldChar w:fldCharType="separate"/>
      </w:r>
      <w:r>
        <w:t>11</w:t>
      </w:r>
      <w:r>
        <w:fldChar w:fldCharType="end"/>
      </w:r>
    </w:p>
    <w:p>
      <w:pPr>
        <w:pStyle w:val="TOC8"/>
        <w:rPr>
          <w:sz w:val="24"/>
          <w:szCs w:val="24"/>
        </w:rPr>
      </w:pPr>
      <w:r>
        <w:rPr>
          <w:szCs w:val="24"/>
        </w:rPr>
        <w:t>13.</w:t>
      </w:r>
      <w:r>
        <w:rPr>
          <w:szCs w:val="24"/>
        </w:rPr>
        <w:tab/>
        <w:t>Withdrawal of infringement notice, form of (Act s. 56)</w:t>
      </w:r>
      <w:r>
        <w:tab/>
      </w:r>
      <w:r>
        <w:fldChar w:fldCharType="begin"/>
      </w:r>
      <w:r>
        <w:instrText xml:space="preserve"> PAGEREF _Toc191981083 \h </w:instrText>
      </w:r>
      <w:r>
        <w:fldChar w:fldCharType="separate"/>
      </w:r>
      <w:r>
        <w:t>11</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Specific dangerous goods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Infringement notice (r. 12)</w:t>
      </w:r>
      <w:r>
        <w:tab/>
      </w:r>
      <w:r>
        <w:fldChar w:fldCharType="begin"/>
      </w:r>
      <w:r>
        <w:instrText xml:space="preserve"> PAGEREF _Toc191981086 \h </w:instrText>
      </w:r>
      <w:r>
        <w:fldChar w:fldCharType="separate"/>
      </w:r>
      <w:r>
        <w:t>13</w:t>
      </w:r>
      <w:r>
        <w:fldChar w:fldCharType="end"/>
      </w:r>
    </w:p>
    <w:p>
      <w:pPr>
        <w:pStyle w:val="TOC8"/>
        <w:rPr>
          <w:sz w:val="24"/>
          <w:szCs w:val="24"/>
        </w:rPr>
      </w:pPr>
      <w:r>
        <w:rPr>
          <w:szCs w:val="22"/>
        </w:rPr>
        <w:t>2.</w:t>
      </w:r>
      <w:r>
        <w:rPr>
          <w:szCs w:val="22"/>
        </w:rPr>
        <w:tab/>
        <w:t>Withdrawal of infringement notice (r. 13)</w:t>
      </w:r>
      <w:r>
        <w:tab/>
      </w:r>
      <w:r>
        <w:fldChar w:fldCharType="begin"/>
      </w:r>
      <w:r>
        <w:instrText xml:space="preserve"> PAGEREF _Toc191981087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_Toc191981089 \h </w:instrText>
      </w:r>
      <w:r>
        <w:fldChar w:fldCharType="separate"/>
      </w:r>
      <w:r>
        <w:t>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2" w:name="_Toc191981066"/>
      <w:r>
        <w:rPr>
          <w:rStyle w:val="CharPartNo"/>
        </w:rPr>
        <w:t>Part 1</w:t>
      </w:r>
      <w:r>
        <w:rPr>
          <w:rStyle w:val="CharDivNo"/>
        </w:rPr>
        <w:t> </w:t>
      </w:r>
      <w:r>
        <w:t>—</w:t>
      </w:r>
      <w:r>
        <w:rPr>
          <w:rStyle w:val="CharDivText"/>
        </w:rPr>
        <w:t> </w:t>
      </w:r>
      <w:r>
        <w:rPr>
          <w:rStyle w:val="CharPartText"/>
        </w:rPr>
        <w:t>Preliminary matters</w:t>
      </w:r>
      <w:bookmarkEnd w:id="2"/>
    </w:p>
    <w:p>
      <w:pPr>
        <w:pStyle w:val="Heading5"/>
      </w:pPr>
      <w:bookmarkStart w:id="3" w:name="_Toc19198106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5" w:name="_Toc191981068"/>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6" w:name="_Toc191981069"/>
      <w:r>
        <w:rPr>
          <w:rStyle w:val="CharSectno"/>
        </w:rPr>
        <w:t>3</w:t>
      </w:r>
      <w:r>
        <w:t>.</w:t>
      </w:r>
      <w:r>
        <w:tab/>
        <w:t>Interpretation</w:t>
      </w:r>
      <w:bookmarkEnd w:id="6"/>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combustible liquid</w:t>
      </w:r>
      <w:r>
        <w:t xml:space="preserve"> means any liquid the flashpoint of which is higher than 60°C;</w:t>
      </w:r>
    </w:p>
    <w:p>
      <w:pPr>
        <w:pStyle w:val="Defstart"/>
      </w:pPr>
      <w:r>
        <w:rPr>
          <w:b/>
        </w:rPr>
        <w:tab/>
      </w:r>
      <w:r>
        <w:rPr>
          <w:rStyle w:val="CharDefText"/>
        </w:rPr>
        <w:t>Explosives Code</w:t>
      </w:r>
      <w:r>
        <w:t xml:space="preserve"> means the </w:t>
      </w:r>
      <w:r>
        <w:rPr>
          <w:i/>
          <w:iCs/>
        </w:rPr>
        <w:t>Australian Code for the Transport of Explosives by Road and Rail</w:t>
      </w:r>
      <w:r>
        <w:t>, Second Edition, 2000, published by the Commonwealth (ISBN 0 642 41486 6) (also called the Australian Explosives Code) and includes (for the avoidance of doubt) the technical appendices to it;</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Heading2"/>
      </w:pPr>
      <w:bookmarkStart w:id="7" w:name="_Toc191981070"/>
      <w:r>
        <w:rPr>
          <w:rStyle w:val="CharPartNo"/>
        </w:rPr>
        <w:t>Part 2</w:t>
      </w:r>
      <w:r>
        <w:rPr>
          <w:rStyle w:val="CharDivNo"/>
        </w:rPr>
        <w:t> </w:t>
      </w:r>
      <w:r>
        <w:t>—</w:t>
      </w:r>
      <w:r>
        <w:rPr>
          <w:rStyle w:val="CharDivText"/>
        </w:rPr>
        <w:t> </w:t>
      </w:r>
      <w:r>
        <w:rPr>
          <w:rStyle w:val="CharPartText"/>
        </w:rPr>
        <w:t>Matters for the Act Parts 1 and 2</w:t>
      </w:r>
      <w:bookmarkEnd w:id="7"/>
    </w:p>
    <w:p>
      <w:pPr>
        <w:pStyle w:val="Heading5"/>
      </w:pPr>
      <w:bookmarkStart w:id="8" w:name="_Toc191981071"/>
      <w:r>
        <w:rPr>
          <w:rStyle w:val="CharSectno"/>
        </w:rPr>
        <w:t>4</w:t>
      </w:r>
      <w:r>
        <w:t>.</w:t>
      </w:r>
      <w:r>
        <w:tab/>
        <w:t>“Dangerous goods” prescribed (Act s. 3(1)(a))</w:t>
      </w:r>
      <w:bookmarkEnd w:id="8"/>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9" w:name="_Toc191981072"/>
      <w:r>
        <w:rPr>
          <w:rStyle w:val="CharSectno"/>
        </w:rPr>
        <w:t>5</w:t>
      </w:r>
      <w:r>
        <w:t>.</w:t>
      </w:r>
      <w:r>
        <w:tab/>
        <w:t>“Dangerous goods”, how Chief Officer determines (Act s. 3(1)(b))</w:t>
      </w:r>
      <w:bookmarkEnd w:id="9"/>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10" w:name="_Toc191981073"/>
      <w:r>
        <w:rPr>
          <w:rStyle w:val="CharSectno"/>
        </w:rPr>
        <w:t>6</w:t>
      </w:r>
      <w:r>
        <w:t>.</w:t>
      </w:r>
      <w:r>
        <w:tab/>
        <w:t>Goods too dangerous to transport (Act s. 16)</w:t>
      </w:r>
      <w:bookmarkEnd w:id="10"/>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Heading2"/>
      </w:pPr>
      <w:bookmarkStart w:id="11" w:name="_Toc191981074"/>
      <w:r>
        <w:rPr>
          <w:rStyle w:val="CharPartNo"/>
        </w:rPr>
        <w:t>Part 3</w:t>
      </w:r>
      <w:r>
        <w:rPr>
          <w:rStyle w:val="CharDivNo"/>
        </w:rPr>
        <w:t> </w:t>
      </w:r>
      <w:r>
        <w:t>—</w:t>
      </w:r>
      <w:r>
        <w:rPr>
          <w:rStyle w:val="CharDivText"/>
        </w:rPr>
        <w:t> </w:t>
      </w:r>
      <w:r>
        <w:rPr>
          <w:rStyle w:val="CharPartText"/>
        </w:rPr>
        <w:t>Matters for the Act Part 4</w:t>
      </w:r>
      <w:bookmarkEnd w:id="11"/>
    </w:p>
    <w:p>
      <w:pPr>
        <w:pStyle w:val="Heading5"/>
      </w:pPr>
      <w:bookmarkStart w:id="12" w:name="_Toc191981075"/>
      <w:r>
        <w:rPr>
          <w:rStyle w:val="CharSectno"/>
        </w:rPr>
        <w:t>7</w:t>
      </w:r>
      <w:r>
        <w:t>.</w:t>
      </w:r>
      <w:r>
        <w:tab/>
        <w:t>Applying for an exemption</w:t>
      </w:r>
      <w:bookmarkEnd w:id="12"/>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13" w:name="_Toc191981076"/>
      <w:r>
        <w:rPr>
          <w:rStyle w:val="CharSectno"/>
        </w:rPr>
        <w:t>8</w:t>
      </w:r>
      <w:r>
        <w:t>.</w:t>
      </w:r>
      <w:r>
        <w:tab/>
        <w:t>Dealing with an application for an exemption</w:t>
      </w:r>
      <w:bookmarkEnd w:id="13"/>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14" w:name="_Toc191981077"/>
      <w:r>
        <w:rPr>
          <w:rStyle w:val="CharSectno"/>
        </w:rPr>
        <w:t>9</w:t>
      </w:r>
      <w:r>
        <w:t>.</w:t>
      </w:r>
      <w:r>
        <w:tab/>
        <w:t>Register of exemptions</w:t>
      </w:r>
      <w:bookmarkEnd w:id="14"/>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15" w:name="_Toc191981078"/>
      <w:r>
        <w:rPr>
          <w:rStyle w:val="CharPartNo"/>
        </w:rPr>
        <w:t>Part 4</w:t>
      </w:r>
      <w:r>
        <w:rPr>
          <w:rStyle w:val="CharDivNo"/>
        </w:rPr>
        <w:t> </w:t>
      </w:r>
      <w:r>
        <w:t>—</w:t>
      </w:r>
      <w:r>
        <w:rPr>
          <w:rStyle w:val="CharDivText"/>
        </w:rPr>
        <w:t> </w:t>
      </w:r>
      <w:r>
        <w:rPr>
          <w:rStyle w:val="CharPartText"/>
        </w:rPr>
        <w:t>Matters for the Act Part 5</w:t>
      </w:r>
      <w:bookmarkEnd w:id="15"/>
    </w:p>
    <w:p>
      <w:pPr>
        <w:pStyle w:val="Heading5"/>
      </w:pPr>
      <w:bookmarkStart w:id="16" w:name="_Toc191981079"/>
      <w:r>
        <w:rPr>
          <w:rStyle w:val="CharSectno"/>
        </w:rPr>
        <w:t>10</w:t>
      </w:r>
      <w:r>
        <w:t>.</w:t>
      </w:r>
      <w:r>
        <w:tab/>
        <w:t>Identity cards, prescribed details (Act s. 28)</w:t>
      </w:r>
      <w:bookmarkEnd w:id="16"/>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17" w:name="_Toc191981080"/>
      <w:r>
        <w:rPr>
          <w:rStyle w:val="CharPartNo"/>
        </w:rPr>
        <w:t>Part 5</w:t>
      </w:r>
      <w:r>
        <w:rPr>
          <w:rStyle w:val="CharDivNo"/>
        </w:rPr>
        <w:t> </w:t>
      </w:r>
      <w:r>
        <w:t>—</w:t>
      </w:r>
      <w:r>
        <w:rPr>
          <w:rStyle w:val="CharDivText"/>
        </w:rPr>
        <w:t> </w:t>
      </w:r>
      <w:r>
        <w:rPr>
          <w:rStyle w:val="CharPartText"/>
        </w:rPr>
        <w:t>Infringement notices</w:t>
      </w:r>
      <w:bookmarkEnd w:id="17"/>
    </w:p>
    <w:p>
      <w:pPr>
        <w:pStyle w:val="Heading5"/>
      </w:pPr>
      <w:bookmarkStart w:id="18" w:name="_Toc191981081"/>
      <w:r>
        <w:rPr>
          <w:rStyle w:val="CharSectno"/>
        </w:rPr>
        <w:t>11</w:t>
      </w:r>
      <w:r>
        <w:t>.</w:t>
      </w:r>
      <w:r>
        <w:tab/>
        <w:t>Prescribed offences (Act s. 56)</w:t>
      </w:r>
      <w:bookmarkEnd w:id="18"/>
    </w:p>
    <w:p>
      <w:pPr>
        <w:pStyle w:val="Subsection"/>
      </w:pPr>
      <w:r>
        <w:tab/>
      </w:r>
      <w:r>
        <w:tab/>
        <w:t>For the purposes of section 56, the prescribed offences are those offences prescribed for the purposes of that section by other regulations made under the Act.</w:t>
      </w:r>
    </w:p>
    <w:p>
      <w:pPr>
        <w:pStyle w:val="Heading5"/>
      </w:pPr>
      <w:bookmarkStart w:id="19" w:name="_Toc191981082"/>
      <w:r>
        <w:rPr>
          <w:rStyle w:val="CharSectno"/>
        </w:rPr>
        <w:t>12</w:t>
      </w:r>
      <w:r>
        <w:t>.</w:t>
      </w:r>
      <w:r>
        <w:tab/>
        <w:t>Infringement notice, form of (Act s. 56)</w:t>
      </w:r>
      <w:bookmarkEnd w:id="19"/>
    </w:p>
    <w:p>
      <w:pPr>
        <w:pStyle w:val="Subsection"/>
      </w:pPr>
      <w:r>
        <w:tab/>
      </w:r>
      <w:r>
        <w:tab/>
        <w:t>For the purposes of section 56(3), the prescribed form of an infringement notice is Form 1.</w:t>
      </w:r>
    </w:p>
    <w:p>
      <w:pPr>
        <w:pStyle w:val="Heading5"/>
      </w:pPr>
      <w:bookmarkStart w:id="20" w:name="_Toc191981083"/>
      <w:r>
        <w:rPr>
          <w:rStyle w:val="CharSectno"/>
        </w:rPr>
        <w:t>13</w:t>
      </w:r>
      <w:r>
        <w:t>.</w:t>
      </w:r>
      <w:r>
        <w:tab/>
        <w:t>Withdrawal of infringement notice, form of (Act s. 56)</w:t>
      </w:r>
      <w:bookmarkEnd w:id="20"/>
    </w:p>
    <w:p>
      <w:pPr>
        <w:pStyle w:val="Subsection"/>
      </w:pPr>
      <w:r>
        <w:tab/>
      </w:r>
      <w:r>
        <w:tab/>
        <w:t>For the purposes of section 56(7), the prescribed form of a withdrawal of an infringement notice is Form 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21" w:name="_Toc191981084"/>
      <w:r>
        <w:rPr>
          <w:rStyle w:val="CharSchNo"/>
        </w:rPr>
        <w:t>Schedule 1</w:t>
      </w:r>
      <w:r>
        <w:rPr>
          <w:rStyle w:val="CharSDivNo"/>
        </w:rPr>
        <w:t> </w:t>
      </w:r>
      <w:r>
        <w:t>—</w:t>
      </w:r>
      <w:r>
        <w:rPr>
          <w:rStyle w:val="CharSDivText"/>
        </w:rPr>
        <w:t> </w:t>
      </w:r>
      <w:r>
        <w:rPr>
          <w:rStyle w:val="CharSchText"/>
        </w:rPr>
        <w:t>Specific dangerous goods</w:t>
      </w:r>
      <w:bookmarkEnd w:id="21"/>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
              <w:rPr>
                <w:b/>
              </w:rPr>
            </w:pPr>
            <w:r>
              <w:rPr>
                <w:b/>
              </w:rPr>
              <w:t>Item</w:t>
            </w:r>
          </w:p>
        </w:tc>
        <w:tc>
          <w:tcPr>
            <w:tcW w:w="6379" w:type="dxa"/>
            <w:tcBorders>
              <w:top w:val="single" w:sz="4" w:space="0" w:color="auto"/>
              <w:bottom w:val="single" w:sz="4" w:space="0" w:color="auto"/>
            </w:tcBorders>
          </w:tcPr>
          <w:p>
            <w:pPr>
              <w:pStyle w:val="yTable"/>
              <w:rPr>
                <w:b/>
              </w:rPr>
            </w:pPr>
            <w:r>
              <w:rPr>
                <w:b/>
              </w:rPr>
              <w:t>Name or description of substance or article</w:t>
            </w:r>
          </w:p>
        </w:tc>
      </w:tr>
      <w:tr>
        <w:tc>
          <w:tcPr>
            <w:tcW w:w="709" w:type="dxa"/>
            <w:tcBorders>
              <w:top w:val="single" w:sz="4" w:space="0" w:color="auto"/>
            </w:tcBorders>
          </w:tcPr>
          <w:p>
            <w:pPr>
              <w:pStyle w:val="yTable"/>
            </w:pPr>
            <w:r>
              <w:t>1.</w:t>
            </w:r>
          </w:p>
        </w:tc>
        <w:tc>
          <w:tcPr>
            <w:tcW w:w="6379" w:type="dxa"/>
            <w:tcBorders>
              <w:top w:val="single" w:sz="4" w:space="0" w:color="auto"/>
            </w:tcBorders>
          </w:tcPr>
          <w:p>
            <w:pPr>
              <w:pStyle w:val="yTable"/>
            </w:pPr>
            <w:r>
              <w:t>Any substance that contains more than 45% ammonium nitrate.</w:t>
            </w:r>
          </w:p>
        </w:tc>
      </w:tr>
      <w:tr>
        <w:tc>
          <w:tcPr>
            <w:tcW w:w="709" w:type="dxa"/>
          </w:tcPr>
          <w:p>
            <w:pPr>
              <w:pStyle w:val="yTable"/>
            </w:pPr>
            <w:r>
              <w:t>2.</w:t>
            </w:r>
          </w:p>
        </w:tc>
        <w:tc>
          <w:tcPr>
            <w:tcW w:w="6379" w:type="dxa"/>
          </w:tcPr>
          <w:p>
            <w:pPr>
              <w:pStyle w:val="yTable"/>
            </w:pPr>
            <w:r>
              <w:t>Sulphur in any form, despite special provision 242 in the ADG Code Chapter 3.3 and despite regulation 4(5).</w:t>
            </w:r>
          </w:p>
        </w:tc>
      </w:tr>
      <w:tr>
        <w:tc>
          <w:tcPr>
            <w:tcW w:w="709" w:type="dxa"/>
            <w:tcBorders>
              <w:bottom w:val="single" w:sz="4" w:space="0" w:color="auto"/>
            </w:tcBorders>
          </w:tcPr>
          <w:p>
            <w:pPr>
              <w:pStyle w:val="yTable"/>
            </w:pPr>
            <w:r>
              <w:t>3.</w:t>
            </w:r>
          </w:p>
        </w:tc>
        <w:tc>
          <w:tcPr>
            <w:tcW w:w="6379" w:type="dxa"/>
            <w:tcBorders>
              <w:bottom w:val="single" w:sz="4" w:space="0" w:color="auto"/>
            </w:tcBorders>
          </w:tcPr>
          <w:p>
            <w:pPr>
              <w:pStyle w:val="yTable"/>
            </w:pPr>
            <w:r>
              <w:t>Any combustible liquid.</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22" w:name="_Toc191981085"/>
      <w:r>
        <w:rPr>
          <w:rStyle w:val="CharSchNo"/>
        </w:rPr>
        <w:t>Schedule 2</w:t>
      </w:r>
      <w:r>
        <w:rPr>
          <w:rStyle w:val="CharSDivNo"/>
        </w:rPr>
        <w:t> </w:t>
      </w:r>
      <w:r>
        <w:t>—</w:t>
      </w:r>
      <w:r>
        <w:rPr>
          <w:rStyle w:val="CharSDivText"/>
        </w:rPr>
        <w:t> </w:t>
      </w:r>
      <w:r>
        <w:rPr>
          <w:rStyle w:val="CharSchText"/>
        </w:rPr>
        <w:t>Forms</w:t>
      </w:r>
      <w:bookmarkEnd w:id="22"/>
    </w:p>
    <w:p>
      <w:pPr>
        <w:pStyle w:val="yShoulderClause"/>
      </w:pPr>
      <w:r>
        <w:t>[r. 3]</w:t>
      </w:r>
    </w:p>
    <w:p>
      <w:pPr>
        <w:pStyle w:val="yHeading5"/>
        <w:spacing w:after="120"/>
      </w:pPr>
      <w:bookmarkStart w:id="23" w:name="_Toc191981086"/>
      <w:r>
        <w:rPr>
          <w:rStyle w:val="CharSClsNo"/>
        </w:rPr>
        <w:t>1</w:t>
      </w:r>
      <w:r>
        <w:t>.</w:t>
      </w:r>
      <w:r>
        <w:tab/>
        <w:t>Infringement notice (r. 12)</w:t>
      </w:r>
      <w:bookmarkEnd w:id="2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
              <w:spacing w:before="0"/>
              <w:rPr>
                <w:bCs/>
                <w:sz w:val="20"/>
              </w:rPr>
            </w:pPr>
            <w:r>
              <w:rPr>
                <w:i/>
                <w:iCs/>
                <w:sz w:val="20"/>
              </w:rPr>
              <w:t>Dangerous Goods Safety Act 2004</w:t>
            </w:r>
            <w:r>
              <w:rPr>
                <w:sz w:val="20"/>
              </w:rPr>
              <w:t xml:space="preserve"> s. 56</w:t>
            </w:r>
          </w:p>
          <w:p>
            <w:pPr>
              <w:pStyle w:val="yTable"/>
              <w:spacing w:before="0"/>
              <w:rPr>
                <w:bCs/>
                <w:sz w:val="20"/>
              </w:rPr>
            </w:pPr>
            <w:r>
              <w:rPr>
                <w:bCs/>
                <w:i/>
                <w:sz w:val="20"/>
              </w:rPr>
              <w:t>Dangerous Goods Safety (General) Regulations 2007</w:t>
            </w:r>
          </w:p>
        </w:tc>
        <w:tc>
          <w:tcPr>
            <w:tcW w:w="2552" w:type="dxa"/>
            <w:gridSpan w:val="3"/>
            <w:tcBorders>
              <w:bottom w:val="nil"/>
            </w:tcBorders>
          </w:tcPr>
          <w:p>
            <w:pPr>
              <w:pStyle w:val="yTable"/>
              <w:spacing w:before="0"/>
              <w:rPr>
                <w:b/>
                <w:sz w:val="20"/>
              </w:rPr>
            </w:pPr>
            <w:r>
              <w:rPr>
                <w:b/>
                <w:sz w:val="20"/>
              </w:rPr>
              <w:t>Infringement notice</w:t>
            </w:r>
          </w:p>
          <w:p>
            <w:pPr>
              <w:pStyle w:val="yTable"/>
              <w:spacing w:before="0"/>
              <w:rPr>
                <w:bCs/>
                <w:sz w:val="20"/>
              </w:rPr>
            </w:pPr>
            <w:r>
              <w:rPr>
                <w:bCs/>
                <w:sz w:val="20"/>
              </w:rPr>
              <w:t>Number:</w:t>
            </w:r>
          </w:p>
        </w:tc>
      </w:tr>
      <w:tr>
        <w:trPr>
          <w:cantSplit/>
          <w:trHeight w:val="220"/>
        </w:trPr>
        <w:tc>
          <w:tcPr>
            <w:tcW w:w="1418" w:type="dxa"/>
            <w:vMerge w:val="restart"/>
          </w:tcPr>
          <w:p>
            <w:pPr>
              <w:pStyle w:val="yTable"/>
              <w:spacing w:before="0"/>
              <w:rPr>
                <w:sz w:val="20"/>
              </w:rPr>
            </w:pPr>
            <w:r>
              <w:rPr>
                <w:sz w:val="20"/>
              </w:rPr>
              <w:t>Alleged offender</w:t>
            </w:r>
          </w:p>
        </w:tc>
        <w:tc>
          <w:tcPr>
            <w:tcW w:w="1276" w:type="dxa"/>
          </w:tcPr>
          <w:p>
            <w:pPr>
              <w:pStyle w:val="yTable"/>
              <w:spacing w:before="0"/>
              <w:rPr>
                <w:sz w:val="20"/>
              </w:rPr>
            </w:pPr>
            <w:r>
              <w:rPr>
                <w:sz w:val="20"/>
              </w:rPr>
              <w:t>Family name</w:t>
            </w:r>
          </w:p>
        </w:tc>
        <w:tc>
          <w:tcPr>
            <w:tcW w:w="4394" w:type="dxa"/>
            <w:gridSpan w:val="5"/>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Given names</w:t>
            </w:r>
          </w:p>
        </w:tc>
        <w:tc>
          <w:tcPr>
            <w:tcW w:w="4394" w:type="dxa"/>
            <w:gridSpan w:val="5"/>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Address</w:t>
            </w:r>
          </w:p>
        </w:tc>
        <w:tc>
          <w:tcPr>
            <w:tcW w:w="4394" w:type="dxa"/>
            <w:gridSpan w:val="5"/>
          </w:tcPr>
          <w:p>
            <w:pPr>
              <w:pStyle w:val="yTable"/>
              <w:spacing w:before="0"/>
              <w:rPr>
                <w:sz w:val="20"/>
              </w:rPr>
            </w:pPr>
          </w:p>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Date of birth</w:t>
            </w:r>
          </w:p>
        </w:tc>
        <w:tc>
          <w:tcPr>
            <w:tcW w:w="2409" w:type="dxa"/>
            <w:gridSpan w:val="3"/>
          </w:tcPr>
          <w:p>
            <w:pPr>
              <w:pStyle w:val="yTable"/>
              <w:spacing w:before="0"/>
              <w:rPr>
                <w:sz w:val="20"/>
              </w:rPr>
            </w:pPr>
          </w:p>
        </w:tc>
        <w:tc>
          <w:tcPr>
            <w:tcW w:w="1985" w:type="dxa"/>
            <w:gridSpan w:val="2"/>
          </w:tcPr>
          <w:p>
            <w:pPr>
              <w:pStyle w:val="yTable"/>
              <w:spacing w:before="0"/>
              <w:rPr>
                <w:sz w:val="20"/>
              </w:rPr>
            </w:pPr>
            <w:r>
              <w:rPr>
                <w:sz w:val="20"/>
              </w:rPr>
              <w:t>Male/Female</w:t>
            </w: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Description</w:t>
            </w:r>
          </w:p>
        </w:tc>
        <w:tc>
          <w:tcPr>
            <w:tcW w:w="4394" w:type="dxa"/>
            <w:gridSpan w:val="5"/>
          </w:tcPr>
          <w:p>
            <w:pPr>
              <w:pStyle w:val="yTable"/>
              <w:tabs>
                <w:tab w:val="left" w:pos="1078"/>
                <w:tab w:val="left" w:pos="2637"/>
              </w:tabs>
              <w:spacing w:before="0"/>
              <w:rPr>
                <w:sz w:val="20"/>
              </w:rPr>
            </w:pPr>
            <w:r>
              <w:rPr>
                <w:sz w:val="20"/>
              </w:rPr>
              <w:t xml:space="preserve">Height: </w:t>
            </w:r>
            <w:r>
              <w:rPr>
                <w:sz w:val="20"/>
              </w:rPr>
              <w:tab/>
              <w:t>Eye colour:</w:t>
            </w:r>
            <w:r>
              <w:rPr>
                <w:sz w:val="20"/>
              </w:rPr>
              <w:tab/>
              <w:t>Hair colour:</w:t>
            </w:r>
          </w:p>
          <w:p>
            <w:pPr>
              <w:pStyle w:val="yTable"/>
              <w:tabs>
                <w:tab w:val="left" w:pos="1078"/>
                <w:tab w:val="left" w:pos="2637"/>
              </w:tabs>
              <w:spacing w:before="0"/>
              <w:rPr>
                <w:sz w:val="20"/>
              </w:rPr>
            </w:pPr>
            <w:r>
              <w:rPr>
                <w:sz w:val="20"/>
              </w:rPr>
              <w:t>Build:</w:t>
            </w:r>
            <w:r>
              <w:rPr>
                <w:sz w:val="20"/>
              </w:rPr>
              <w:tab/>
              <w:t>Distinguishing marks:</w:t>
            </w: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Driver’s licence</w:t>
            </w:r>
          </w:p>
        </w:tc>
        <w:tc>
          <w:tcPr>
            <w:tcW w:w="4394" w:type="dxa"/>
            <w:gridSpan w:val="5"/>
          </w:tcPr>
          <w:p>
            <w:pPr>
              <w:pStyle w:val="yTable"/>
              <w:tabs>
                <w:tab w:val="left" w:pos="1078"/>
                <w:tab w:val="left" w:pos="2637"/>
              </w:tabs>
              <w:spacing w:before="0"/>
              <w:rPr>
                <w:sz w:val="20"/>
              </w:rPr>
            </w:pPr>
            <w:r>
              <w:rPr>
                <w:sz w:val="20"/>
              </w:rPr>
              <w:t>No.:</w:t>
            </w:r>
            <w:r>
              <w:rPr>
                <w:sz w:val="20"/>
              </w:rPr>
              <w:tab/>
            </w:r>
            <w:r>
              <w:rPr>
                <w:sz w:val="20"/>
              </w:rPr>
              <w:tab/>
              <w:t>State/Country:</w:t>
            </w:r>
          </w:p>
          <w:p>
            <w:pPr>
              <w:pStyle w:val="yTable"/>
              <w:tabs>
                <w:tab w:val="left" w:pos="1078"/>
                <w:tab w:val="left" w:pos="2637"/>
              </w:tabs>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
              <w:spacing w:before="0"/>
              <w:rPr>
                <w:sz w:val="20"/>
              </w:rPr>
            </w:pPr>
            <w:r>
              <w:rPr>
                <w:sz w:val="20"/>
              </w:rPr>
              <w:t>Description of alleged offence</w:t>
            </w:r>
          </w:p>
        </w:tc>
        <w:tc>
          <w:tcPr>
            <w:tcW w:w="1276" w:type="dxa"/>
          </w:tcPr>
          <w:p>
            <w:pPr>
              <w:pStyle w:val="yTable"/>
              <w:spacing w:before="0"/>
              <w:rPr>
                <w:sz w:val="20"/>
              </w:rPr>
            </w:pPr>
            <w:r>
              <w:rPr>
                <w:sz w:val="20"/>
              </w:rPr>
              <w:t>Date</w:t>
            </w:r>
          </w:p>
        </w:tc>
        <w:tc>
          <w:tcPr>
            <w:tcW w:w="2409" w:type="dxa"/>
            <w:gridSpan w:val="3"/>
          </w:tcPr>
          <w:p>
            <w:pPr>
              <w:pStyle w:val="yTable"/>
              <w:spacing w:before="0"/>
              <w:rPr>
                <w:sz w:val="20"/>
              </w:rPr>
            </w:pPr>
          </w:p>
        </w:tc>
        <w:tc>
          <w:tcPr>
            <w:tcW w:w="567" w:type="dxa"/>
          </w:tcPr>
          <w:p>
            <w:pPr>
              <w:pStyle w:val="yTable"/>
              <w:spacing w:before="0"/>
              <w:rPr>
                <w:sz w:val="20"/>
              </w:rPr>
            </w:pPr>
            <w:r>
              <w:rPr>
                <w:sz w:val="20"/>
              </w:rPr>
              <w:t>Time</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Place</w:t>
            </w:r>
          </w:p>
        </w:tc>
        <w:tc>
          <w:tcPr>
            <w:tcW w:w="4394" w:type="dxa"/>
            <w:gridSpan w:val="5"/>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Details</w:t>
            </w:r>
            <w:r>
              <w:rPr>
                <w:rFonts w:ascii="Times" w:hAnsi="Times"/>
                <w:sz w:val="20"/>
                <w:vertAlign w:val="superscript"/>
              </w:rPr>
              <w:t>1</w:t>
            </w:r>
          </w:p>
        </w:tc>
        <w:tc>
          <w:tcPr>
            <w:tcW w:w="4394" w:type="dxa"/>
            <w:gridSpan w:val="5"/>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Regulation contravened</w:t>
            </w:r>
            <w:r>
              <w:rPr>
                <w:rFonts w:ascii="Times" w:hAnsi="Times"/>
                <w:sz w:val="20"/>
                <w:vertAlign w:val="superscript"/>
              </w:rPr>
              <w:t>2</w:t>
            </w:r>
          </w:p>
        </w:tc>
        <w:tc>
          <w:tcPr>
            <w:tcW w:w="4394" w:type="dxa"/>
            <w:gridSpan w:val="5"/>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Modified penalty</w:t>
            </w:r>
          </w:p>
        </w:tc>
        <w:tc>
          <w:tcPr>
            <w:tcW w:w="5670" w:type="dxa"/>
            <w:gridSpan w:val="6"/>
            <w:tcBorders>
              <w:bottom w:val="single" w:sz="4" w:space="0" w:color="auto"/>
            </w:tcBorders>
          </w:tcPr>
          <w:p>
            <w:pPr>
              <w:pStyle w:val="yTable"/>
              <w:spacing w:before="0"/>
              <w:rPr>
                <w:sz w:val="20"/>
              </w:rPr>
            </w:pPr>
            <w:r>
              <w:rPr>
                <w:sz w:val="20"/>
              </w:rPr>
              <w:t>The modified penalty for the alleged offence is $</w:t>
            </w:r>
          </w:p>
        </w:tc>
      </w:tr>
      <w:tr>
        <w:trPr>
          <w:cantSplit/>
          <w:trHeight w:val="220"/>
        </w:trPr>
        <w:tc>
          <w:tcPr>
            <w:tcW w:w="1418" w:type="dxa"/>
            <w:vMerge w:val="restart"/>
          </w:tcPr>
          <w:p>
            <w:pPr>
              <w:pStyle w:val="yTable"/>
              <w:spacing w:before="0"/>
              <w:rPr>
                <w:sz w:val="20"/>
              </w:rPr>
            </w:pPr>
            <w:r>
              <w:rPr>
                <w:sz w:val="20"/>
              </w:rPr>
              <w:t>Vehicle details</w:t>
            </w:r>
            <w:r>
              <w:rPr>
                <w:rFonts w:ascii="Times" w:hAnsi="Times"/>
                <w:sz w:val="20"/>
                <w:vertAlign w:val="superscript"/>
              </w:rPr>
              <w:t>3</w:t>
            </w:r>
          </w:p>
        </w:tc>
        <w:tc>
          <w:tcPr>
            <w:tcW w:w="1276" w:type="dxa"/>
          </w:tcPr>
          <w:p>
            <w:pPr>
              <w:pStyle w:val="yTable"/>
              <w:spacing w:before="0"/>
              <w:rPr>
                <w:sz w:val="20"/>
              </w:rPr>
            </w:pPr>
            <w:r>
              <w:rPr>
                <w:sz w:val="20"/>
              </w:rPr>
              <w:t>Plate. No.</w:t>
            </w:r>
          </w:p>
        </w:tc>
        <w:tc>
          <w:tcPr>
            <w:tcW w:w="1701" w:type="dxa"/>
          </w:tcPr>
          <w:p>
            <w:pPr>
              <w:pStyle w:val="yTable"/>
              <w:spacing w:before="0"/>
              <w:rPr>
                <w:sz w:val="20"/>
              </w:rPr>
            </w:pPr>
          </w:p>
        </w:tc>
        <w:tc>
          <w:tcPr>
            <w:tcW w:w="1275" w:type="dxa"/>
            <w:gridSpan w:val="3"/>
          </w:tcPr>
          <w:p>
            <w:pPr>
              <w:pStyle w:val="yTable"/>
              <w:spacing w:before="0"/>
              <w:rPr>
                <w:sz w:val="20"/>
              </w:rPr>
            </w:pPr>
            <w:r>
              <w:rPr>
                <w:sz w:val="20"/>
              </w:rPr>
              <w:t>State</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Licence expiry date</w:t>
            </w:r>
          </w:p>
        </w:tc>
        <w:tc>
          <w:tcPr>
            <w:tcW w:w="1701" w:type="dxa"/>
          </w:tcPr>
          <w:p>
            <w:pPr>
              <w:pStyle w:val="yTable"/>
              <w:spacing w:before="0"/>
              <w:rPr>
                <w:sz w:val="20"/>
              </w:rPr>
            </w:pPr>
          </w:p>
        </w:tc>
        <w:tc>
          <w:tcPr>
            <w:tcW w:w="1275" w:type="dxa"/>
            <w:gridSpan w:val="3"/>
          </w:tcPr>
          <w:p>
            <w:pPr>
              <w:pStyle w:val="yTable"/>
              <w:spacing w:before="0"/>
              <w:rPr>
                <w:sz w:val="20"/>
              </w:rPr>
            </w:pPr>
            <w:r>
              <w:rPr>
                <w:sz w:val="20"/>
              </w:rPr>
              <w:t>Vin/Chassis No.</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Make</w:t>
            </w:r>
          </w:p>
        </w:tc>
        <w:tc>
          <w:tcPr>
            <w:tcW w:w="1701" w:type="dxa"/>
          </w:tcPr>
          <w:p>
            <w:pPr>
              <w:pStyle w:val="yTable"/>
              <w:spacing w:before="0"/>
              <w:rPr>
                <w:sz w:val="20"/>
              </w:rPr>
            </w:pPr>
          </w:p>
        </w:tc>
        <w:tc>
          <w:tcPr>
            <w:tcW w:w="1275" w:type="dxa"/>
            <w:gridSpan w:val="3"/>
          </w:tcPr>
          <w:p>
            <w:pPr>
              <w:pStyle w:val="yTable"/>
              <w:spacing w:before="0"/>
              <w:rPr>
                <w:sz w:val="20"/>
              </w:rPr>
            </w:pPr>
            <w:r>
              <w:rPr>
                <w:sz w:val="20"/>
              </w:rPr>
              <w:t>Colour</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Body type</w:t>
            </w:r>
          </w:p>
        </w:tc>
        <w:tc>
          <w:tcPr>
            <w:tcW w:w="4394" w:type="dxa"/>
            <w:gridSpan w:val="5"/>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Date of notice</w:t>
            </w:r>
          </w:p>
        </w:tc>
        <w:tc>
          <w:tcPr>
            <w:tcW w:w="5670" w:type="dxa"/>
            <w:gridSpan w:val="6"/>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Service details</w:t>
            </w:r>
          </w:p>
          <w:p>
            <w:pPr>
              <w:pStyle w:val="yTable"/>
              <w:spacing w:before="0"/>
              <w:rPr>
                <w:sz w:val="20"/>
              </w:rPr>
            </w:pPr>
            <w:r>
              <w:rPr>
                <w:sz w:val="18"/>
              </w:rPr>
              <w:t>[Tick one box]</w:t>
            </w:r>
          </w:p>
        </w:tc>
        <w:tc>
          <w:tcPr>
            <w:tcW w:w="3685" w:type="dxa"/>
            <w:gridSpan w:val="4"/>
            <w:tcBorders>
              <w:bottom w:val="single" w:sz="4" w:space="0" w:color="auto"/>
            </w:tcBorders>
          </w:tcPr>
          <w:p>
            <w:pPr>
              <w:pStyle w:val="yTable"/>
              <w:spacing w:before="0"/>
              <w:rPr>
                <w:sz w:val="20"/>
              </w:rPr>
            </w:pPr>
            <w:r>
              <w:rPr>
                <w:sz w:val="20"/>
              </w:rPr>
              <w:t xml:space="preserve">This notice was served — </w:t>
            </w:r>
          </w:p>
          <w:p>
            <w:pPr>
              <w:pStyle w:val="yTable"/>
              <w:spacing w:before="0"/>
              <w:rPr>
                <w:sz w:val="20"/>
              </w:rPr>
            </w:pPr>
            <w:r>
              <w:rPr>
                <w:sz w:val="20"/>
              </w:rPr>
              <w:t>in person   by post.</w:t>
            </w:r>
          </w:p>
        </w:tc>
        <w:tc>
          <w:tcPr>
            <w:tcW w:w="567" w:type="dxa"/>
            <w:tcBorders>
              <w:bottom w:val="single" w:sz="4" w:space="0" w:color="auto"/>
            </w:tcBorders>
          </w:tcPr>
          <w:p>
            <w:pPr>
              <w:pStyle w:val="yTable"/>
              <w:spacing w:before="0"/>
              <w:rPr>
                <w:sz w:val="20"/>
              </w:rPr>
            </w:pPr>
            <w:r>
              <w:rPr>
                <w:sz w:val="20"/>
              </w:rPr>
              <w:t>Date</w:t>
            </w:r>
          </w:p>
        </w:tc>
        <w:tc>
          <w:tcPr>
            <w:tcW w:w="1418" w:type="dxa"/>
            <w:tcBorders>
              <w:bottom w:val="single" w:sz="4" w:space="0" w:color="auto"/>
            </w:tcBorders>
          </w:tcPr>
          <w:p>
            <w:pPr>
              <w:pStyle w:val="yTable"/>
              <w:spacing w:before="0"/>
              <w:rPr>
                <w:sz w:val="20"/>
              </w:rPr>
            </w:pPr>
          </w:p>
        </w:tc>
      </w:tr>
      <w:tr>
        <w:trPr>
          <w:cantSplit/>
          <w:trHeight w:val="220"/>
        </w:trPr>
        <w:tc>
          <w:tcPr>
            <w:tcW w:w="1418" w:type="dxa"/>
            <w:vMerge w:val="restart"/>
            <w:tcBorders>
              <w:bottom w:val="single" w:sz="4" w:space="0" w:color="auto"/>
            </w:tcBorders>
          </w:tcPr>
          <w:p>
            <w:pPr>
              <w:pStyle w:val="yTable"/>
              <w:spacing w:before="0"/>
              <w:rPr>
                <w:sz w:val="20"/>
              </w:rPr>
            </w:pPr>
            <w:r>
              <w:rPr>
                <w:sz w:val="20"/>
              </w:rPr>
              <w:t>Officer issuing notice</w:t>
            </w:r>
          </w:p>
        </w:tc>
        <w:tc>
          <w:tcPr>
            <w:tcW w:w="1276" w:type="dxa"/>
            <w:tcBorders>
              <w:bottom w:val="single" w:sz="4" w:space="0" w:color="auto"/>
            </w:tcBorders>
          </w:tcPr>
          <w:p>
            <w:pPr>
              <w:pStyle w:val="yTable"/>
              <w:spacing w:before="0"/>
              <w:rPr>
                <w:sz w:val="20"/>
              </w:rPr>
            </w:pPr>
            <w:r>
              <w:rPr>
                <w:sz w:val="20"/>
              </w:rPr>
              <w:t>Name</w:t>
            </w:r>
          </w:p>
        </w:tc>
        <w:tc>
          <w:tcPr>
            <w:tcW w:w="4394" w:type="dxa"/>
            <w:gridSpan w:val="5"/>
            <w:tcBorders>
              <w:bottom w:val="single" w:sz="4" w:space="0" w:color="auto"/>
            </w:tcBorders>
          </w:tcPr>
          <w:p>
            <w:pPr>
              <w:pStyle w:val="yTable"/>
              <w:spacing w:before="0"/>
              <w:rPr>
                <w:sz w:val="20"/>
              </w:rPr>
            </w:pPr>
          </w:p>
        </w:tc>
      </w:tr>
      <w:tr>
        <w:trPr>
          <w:cantSplit/>
          <w:trHeight w:val="220"/>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 xml:space="preserve">Office </w:t>
            </w:r>
          </w:p>
        </w:tc>
        <w:tc>
          <w:tcPr>
            <w:tcW w:w="4394" w:type="dxa"/>
            <w:gridSpan w:val="5"/>
            <w:tcBorders>
              <w:bottom w:val="single" w:sz="4" w:space="0" w:color="auto"/>
            </w:tcBorders>
          </w:tcPr>
          <w:p>
            <w:pPr>
              <w:pStyle w:val="yTable"/>
              <w:spacing w:before="0"/>
              <w:rPr>
                <w:sz w:val="20"/>
              </w:rPr>
            </w:pPr>
          </w:p>
        </w:tc>
      </w:tr>
      <w:tr>
        <w:trPr>
          <w:cantSplit/>
          <w:trHeight w:val="220"/>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Signature</w:t>
            </w:r>
          </w:p>
        </w:tc>
        <w:tc>
          <w:tcPr>
            <w:tcW w:w="4394" w:type="dxa"/>
            <w:gridSpan w:val="5"/>
            <w:tcBorders>
              <w:bottom w:val="single" w:sz="4" w:space="0" w:color="auto"/>
            </w:tcBorders>
          </w:tcPr>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Notice to alleged offender</w:t>
            </w:r>
          </w:p>
          <w:p>
            <w:pPr>
              <w:pStyle w:val="yTable"/>
              <w:spacing w:before="0"/>
              <w:rPr>
                <w:sz w:val="20"/>
              </w:rPr>
            </w:pPr>
          </w:p>
        </w:tc>
        <w:tc>
          <w:tcPr>
            <w:tcW w:w="5670" w:type="dxa"/>
            <w:gridSpan w:val="6"/>
            <w:tcBorders>
              <w:top w:val="single" w:sz="4" w:space="0" w:color="auto"/>
              <w:bottom w:val="single" w:sz="4" w:space="0" w:color="auto"/>
            </w:tcBorders>
          </w:tcPr>
          <w:p>
            <w:pPr>
              <w:pStyle w:val="yTable"/>
              <w:spacing w:before="0"/>
              <w:rPr>
                <w:rStyle w:val="DraftersNotes"/>
                <w:b w:val="0"/>
                <w:bCs/>
                <w:i w:val="0"/>
                <w:iCs/>
              </w:rPr>
            </w:pPr>
            <w:r>
              <w:rPr>
                <w:sz w:val="20"/>
              </w:rPr>
              <w:t>It is alleged that you have committed the above offence.</w:t>
            </w:r>
          </w:p>
          <w:p>
            <w:pPr>
              <w:pStyle w:val="yTable"/>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
              <w:spacing w:before="0"/>
              <w:rPr>
                <w:sz w:val="20"/>
              </w:rPr>
            </w:pPr>
            <w:r>
              <w:rPr>
                <w:sz w:val="20"/>
              </w:rPr>
              <w:t>If you do not wish to be prosecuted for the alleged offence in court, pay the modified penalty above within 28 days after the date on which you receive this notice.</w:t>
            </w:r>
          </w:p>
          <w:p>
            <w:pPr>
              <w:pStyle w:val="yTable"/>
              <w:spacing w:before="0"/>
              <w:rPr>
                <w:sz w:val="20"/>
              </w:rPr>
            </w:pPr>
            <w:r>
              <w:rPr>
                <w:sz w:val="20"/>
              </w:rPr>
              <w:t>To pay, tick the relevant box below and post this notice and any cheque or credit card details for the modified penalty to the address below.</w:t>
            </w:r>
          </w:p>
          <w:p>
            <w:pPr>
              <w:pStyle w:val="yTable"/>
              <w:spacing w:before="0"/>
              <w:rPr>
                <w:rStyle w:val="DraftersNotes"/>
                <w:b w:val="0"/>
                <w:bCs/>
                <w:i w:val="0"/>
                <w:iCs/>
              </w:rPr>
            </w:pPr>
            <w:r>
              <w:rPr>
                <w:rStyle w:val="DraftersNotes"/>
                <w:b w:val="0"/>
                <w:bCs/>
                <w:i w:val="0"/>
                <w:iCs/>
              </w:rPr>
              <w:t>If you want an extension of time to pay the modified penalty, contact the Chief Dangerous Goods Officer at the address below.</w:t>
            </w:r>
          </w:p>
          <w:p>
            <w:pPr>
              <w:pStyle w:val="yTable"/>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Alleged offender’s response</w:t>
            </w:r>
          </w:p>
          <w:p>
            <w:pPr>
              <w:pStyle w:val="yTable"/>
              <w:spacing w:before="0"/>
              <w:rPr>
                <w:sz w:val="20"/>
              </w:rPr>
            </w:pPr>
            <w:r>
              <w:rPr>
                <w:sz w:val="18"/>
              </w:rPr>
              <w:t>[Tick one box]</w:t>
            </w:r>
          </w:p>
        </w:tc>
        <w:tc>
          <w:tcPr>
            <w:tcW w:w="5670" w:type="dxa"/>
            <w:gridSpan w:val="6"/>
            <w:tcBorders>
              <w:top w:val="single" w:sz="4" w:space="0" w:color="auto"/>
              <w:bottom w:val="single" w:sz="4" w:space="0" w:color="auto"/>
            </w:tcBorders>
          </w:tcPr>
          <w:p>
            <w:pPr>
              <w:pStyle w:val="yTable"/>
              <w:spacing w:before="0"/>
              <w:ind w:left="369" w:hanging="369"/>
              <w:rPr>
                <w:sz w:val="20"/>
              </w:rPr>
            </w:pPr>
            <w:r>
              <w:rPr>
                <w:sz w:val="20"/>
              </w:rPr>
              <w:t>To —</w:t>
            </w:r>
          </w:p>
          <w:p>
            <w:pPr>
              <w:pStyle w:val="yTable"/>
              <w:spacing w:before="0"/>
              <w:ind w:left="369"/>
              <w:rPr>
                <w:rStyle w:val="DraftersNotes"/>
                <w:b w:val="0"/>
                <w:bCs/>
                <w:i w:val="0"/>
                <w:iCs/>
              </w:rPr>
            </w:pPr>
            <w:r>
              <w:rPr>
                <w:rStyle w:val="DraftersNotes"/>
                <w:b w:val="0"/>
                <w:bCs/>
                <w:i w:val="0"/>
                <w:iCs/>
              </w:rPr>
              <w:t>Resources Safety</w:t>
            </w:r>
          </w:p>
          <w:p>
            <w:pPr>
              <w:pStyle w:val="yTable"/>
              <w:spacing w:before="0"/>
              <w:ind w:left="369"/>
              <w:rPr>
                <w:rStyle w:val="DraftersNotes"/>
                <w:b w:val="0"/>
                <w:bCs/>
                <w:i w:val="0"/>
                <w:iCs/>
              </w:rPr>
            </w:pPr>
            <w:r>
              <w:rPr>
                <w:rStyle w:val="DraftersNotes"/>
                <w:b w:val="0"/>
                <w:bCs/>
                <w:i w:val="0"/>
                <w:iCs/>
              </w:rPr>
              <w:t>Department of Consumer and Employment Protection</w:t>
            </w:r>
          </w:p>
          <w:p>
            <w:pPr>
              <w:pStyle w:val="yTable"/>
              <w:spacing w:before="0"/>
              <w:ind w:left="369"/>
              <w:rPr>
                <w:rStyle w:val="DraftersNotes"/>
                <w:b w:val="0"/>
                <w:bCs/>
                <w:i w:val="0"/>
                <w:iCs/>
              </w:rPr>
            </w:pPr>
            <w:r>
              <w:rPr>
                <w:rStyle w:val="DraftersNotes"/>
                <w:b w:val="0"/>
                <w:bCs/>
                <w:i w:val="0"/>
                <w:iCs/>
              </w:rPr>
              <w:t>Locked Bag 14, Cloisters Square, WA, 6850.</w:t>
            </w:r>
          </w:p>
          <w:p>
            <w:pPr>
              <w:pStyle w:val="yTable"/>
              <w:spacing w:before="0"/>
              <w:rPr>
                <w:sz w:val="20"/>
              </w:rPr>
            </w:pPr>
          </w:p>
          <w:p>
            <w:pPr>
              <w:pStyle w:val="yTable"/>
              <w:spacing w:before="0"/>
              <w:ind w:left="369" w:hanging="369"/>
              <w:rPr>
                <w:sz w:val="20"/>
              </w:rPr>
            </w:pPr>
            <w:r>
              <w:rPr>
                <w:sz w:val="20"/>
              </w:rPr>
              <w:tab/>
              <w:t>I want this alleged offence dealt with by a court.</w:t>
            </w:r>
          </w:p>
          <w:p>
            <w:pPr>
              <w:pStyle w:val="yTable"/>
              <w:spacing w:before="0"/>
              <w:ind w:left="369" w:hanging="369"/>
              <w:rPr>
                <w:sz w:val="20"/>
              </w:rPr>
            </w:pPr>
            <w:r>
              <w:rPr>
                <w:sz w:val="20"/>
              </w:rPr>
              <w:tab/>
              <w:t>Cheque for the modified penalty enclosed.</w:t>
            </w:r>
          </w:p>
          <w:p>
            <w:pPr>
              <w:pStyle w:val="yTable"/>
              <w:spacing w:before="0"/>
              <w:ind w:left="369" w:hanging="369"/>
              <w:rPr>
                <w:sz w:val="20"/>
              </w:rPr>
            </w:pPr>
            <w:r>
              <w:rPr>
                <w:sz w:val="20"/>
              </w:rPr>
              <w:tab/>
              <w:t>I want to pay the modified penalty by using a credit card. The credit card’s details are:</w:t>
            </w:r>
          </w:p>
          <w:p>
            <w:pPr>
              <w:pStyle w:val="yTable"/>
              <w:spacing w:before="0"/>
              <w:ind w:left="510" w:hanging="510"/>
              <w:rPr>
                <w:sz w:val="20"/>
              </w:rPr>
            </w:pPr>
          </w:p>
        </w:tc>
      </w:tr>
    </w:tbl>
    <w:p>
      <w:pPr>
        <w:pStyle w:val="yMiscellaneousFootnotes"/>
      </w:pPr>
      <w:r>
        <w:t>Notes to Form 1 —</w:t>
      </w:r>
    </w:p>
    <w:p>
      <w:pPr>
        <w:pStyle w:val="yMiscellaneousFootnotes"/>
        <w:spacing w:before="0"/>
        <w:ind w:left="425" w:hanging="425"/>
      </w:pPr>
      <w:r>
        <w:t>1.</w:t>
      </w:r>
      <w:r>
        <w:tab/>
        <w:t>The details should say what the alleged offender has done that is a contravention of the law.</w:t>
      </w:r>
    </w:p>
    <w:p>
      <w:pPr>
        <w:pStyle w:val="yMiscellaneousFootnotes"/>
        <w:spacing w:before="0"/>
        <w:ind w:left="425" w:hanging="425"/>
      </w:pPr>
      <w:r>
        <w:t>2.</w:t>
      </w:r>
      <w:r>
        <w:tab/>
        <w:t>Include here the name of the regulations and the number of the regulation contravened.</w:t>
      </w:r>
    </w:p>
    <w:p>
      <w:pPr>
        <w:pStyle w:val="yMiscellaneousFootnotes"/>
        <w:spacing w:before="0"/>
        <w:ind w:left="425" w:hanging="425"/>
      </w:pPr>
      <w:r>
        <w:t>3.</w:t>
      </w:r>
      <w:r>
        <w:tab/>
        <w:t>Include vehicle details if alleged offence relates to a vehicle or to a person driving a vehicle.</w:t>
      </w:r>
    </w:p>
    <w:p>
      <w:pPr>
        <w:pStyle w:val="yHeading5"/>
        <w:pageBreakBefore/>
        <w:spacing w:after="120"/>
      </w:pPr>
      <w:bookmarkStart w:id="24" w:name="_Toc191981087"/>
      <w:r>
        <w:rPr>
          <w:rStyle w:val="CharSClsNo"/>
        </w:rPr>
        <w:t>2</w:t>
      </w:r>
      <w:r>
        <w:t>.</w:t>
      </w:r>
      <w:r>
        <w:tab/>
        <w:t>Withdrawal of infringement notice (r. 13)</w:t>
      </w:r>
      <w:bookmarkEnd w:id="2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
              <w:spacing w:before="0"/>
              <w:rPr>
                <w:bCs/>
                <w:sz w:val="20"/>
              </w:rPr>
            </w:pPr>
            <w:r>
              <w:rPr>
                <w:i/>
                <w:iCs/>
                <w:sz w:val="20"/>
              </w:rPr>
              <w:t>Dangerous Goods Safety Act 2004</w:t>
            </w:r>
            <w:r>
              <w:rPr>
                <w:sz w:val="20"/>
              </w:rPr>
              <w:t xml:space="preserve"> s. 56</w:t>
            </w:r>
          </w:p>
          <w:p>
            <w:pPr>
              <w:pStyle w:val="yTable"/>
              <w:spacing w:before="0"/>
              <w:rPr>
                <w:bCs/>
                <w:sz w:val="20"/>
              </w:rPr>
            </w:pPr>
            <w:r>
              <w:rPr>
                <w:bCs/>
                <w:i/>
                <w:sz w:val="20"/>
              </w:rPr>
              <w:t>Dangerous Goods Safety (General) Regulations 2007</w:t>
            </w:r>
          </w:p>
        </w:tc>
        <w:tc>
          <w:tcPr>
            <w:tcW w:w="2552" w:type="dxa"/>
            <w:gridSpan w:val="3"/>
            <w:tcBorders>
              <w:bottom w:val="nil"/>
            </w:tcBorders>
          </w:tcPr>
          <w:p>
            <w:pPr>
              <w:pStyle w:val="yTable"/>
              <w:spacing w:before="0"/>
              <w:rPr>
                <w:bCs/>
                <w:sz w:val="20"/>
              </w:rPr>
            </w:pPr>
            <w:r>
              <w:rPr>
                <w:b/>
                <w:sz w:val="20"/>
              </w:rPr>
              <w:t>Withdrawal of infringement notice</w:t>
            </w:r>
          </w:p>
        </w:tc>
      </w:tr>
      <w:tr>
        <w:trPr>
          <w:cantSplit/>
          <w:trHeight w:val="220"/>
        </w:trPr>
        <w:tc>
          <w:tcPr>
            <w:tcW w:w="1418" w:type="dxa"/>
            <w:vMerge w:val="restart"/>
          </w:tcPr>
          <w:p>
            <w:pPr>
              <w:pStyle w:val="yTable"/>
              <w:spacing w:before="0"/>
              <w:rPr>
                <w:sz w:val="20"/>
              </w:rPr>
            </w:pPr>
            <w:r>
              <w:rPr>
                <w:sz w:val="20"/>
              </w:rPr>
              <w:t>Alleged offender</w:t>
            </w:r>
          </w:p>
        </w:tc>
        <w:tc>
          <w:tcPr>
            <w:tcW w:w="1276" w:type="dxa"/>
          </w:tcPr>
          <w:p>
            <w:pPr>
              <w:pStyle w:val="yTable"/>
              <w:spacing w:before="0"/>
              <w:rPr>
                <w:sz w:val="20"/>
              </w:rPr>
            </w:pPr>
            <w:r>
              <w:rPr>
                <w:sz w:val="20"/>
              </w:rPr>
              <w:t>Family name</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Given names</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Address</w:t>
            </w:r>
          </w:p>
        </w:tc>
        <w:tc>
          <w:tcPr>
            <w:tcW w:w="4394" w:type="dxa"/>
            <w:gridSpan w:val="4"/>
          </w:tcPr>
          <w:p>
            <w:pPr>
              <w:pStyle w:val="yTable"/>
              <w:spacing w:before="0"/>
              <w:rPr>
                <w:sz w:val="20"/>
              </w:rPr>
            </w:pPr>
          </w:p>
          <w:p>
            <w:pPr>
              <w:pStyle w:val="yTable"/>
              <w:spacing w:before="0"/>
              <w:rPr>
                <w:sz w:val="20"/>
              </w:rPr>
            </w:pPr>
          </w:p>
        </w:tc>
      </w:tr>
      <w:tr>
        <w:trPr>
          <w:cantSplit/>
          <w:trHeight w:val="220"/>
        </w:trPr>
        <w:tc>
          <w:tcPr>
            <w:tcW w:w="1418" w:type="dxa"/>
            <w:vMerge w:val="restart"/>
          </w:tcPr>
          <w:p>
            <w:pPr>
              <w:pStyle w:val="yTable"/>
              <w:spacing w:before="0"/>
              <w:rPr>
                <w:sz w:val="20"/>
              </w:rPr>
            </w:pPr>
            <w:r>
              <w:rPr>
                <w:sz w:val="20"/>
              </w:rPr>
              <w:t>Infringement notice</w:t>
            </w:r>
          </w:p>
        </w:tc>
        <w:tc>
          <w:tcPr>
            <w:tcW w:w="1276" w:type="dxa"/>
          </w:tcPr>
          <w:p>
            <w:pPr>
              <w:pStyle w:val="yTable"/>
              <w:spacing w:before="0"/>
              <w:rPr>
                <w:sz w:val="20"/>
              </w:rPr>
            </w:pPr>
            <w:r>
              <w:rPr>
                <w:sz w:val="20"/>
              </w:rPr>
              <w:t>Number</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Date issued</w:t>
            </w:r>
          </w:p>
        </w:tc>
        <w:tc>
          <w:tcPr>
            <w:tcW w:w="4394" w:type="dxa"/>
            <w:gridSpan w:val="4"/>
          </w:tcPr>
          <w:p>
            <w:pPr>
              <w:pStyle w:val="yTable"/>
              <w:spacing w:before="0"/>
              <w:rPr>
                <w:sz w:val="20"/>
              </w:rPr>
            </w:pPr>
          </w:p>
        </w:tc>
      </w:tr>
      <w:tr>
        <w:trPr>
          <w:cantSplit/>
          <w:trHeight w:val="220"/>
        </w:trPr>
        <w:tc>
          <w:tcPr>
            <w:tcW w:w="1418" w:type="dxa"/>
            <w:vMerge w:val="restart"/>
          </w:tcPr>
          <w:p>
            <w:pPr>
              <w:pStyle w:val="yTable"/>
              <w:spacing w:before="0"/>
              <w:rPr>
                <w:sz w:val="20"/>
              </w:rPr>
            </w:pPr>
            <w:r>
              <w:rPr>
                <w:sz w:val="20"/>
              </w:rPr>
              <w:t>Description of alleged offence</w:t>
            </w:r>
          </w:p>
        </w:tc>
        <w:tc>
          <w:tcPr>
            <w:tcW w:w="1276" w:type="dxa"/>
          </w:tcPr>
          <w:p>
            <w:pPr>
              <w:pStyle w:val="yTable"/>
              <w:spacing w:before="0"/>
              <w:rPr>
                <w:sz w:val="20"/>
              </w:rPr>
            </w:pPr>
            <w:r>
              <w:rPr>
                <w:sz w:val="20"/>
              </w:rPr>
              <w:t>Date</w:t>
            </w:r>
          </w:p>
        </w:tc>
        <w:tc>
          <w:tcPr>
            <w:tcW w:w="2268"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Place</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Details</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Regulation contravened</w:t>
            </w:r>
          </w:p>
        </w:tc>
        <w:tc>
          <w:tcPr>
            <w:tcW w:w="4394" w:type="dxa"/>
            <w:gridSpan w:val="4"/>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Date of this notice</w:t>
            </w:r>
          </w:p>
        </w:tc>
        <w:tc>
          <w:tcPr>
            <w:tcW w:w="5670" w:type="dxa"/>
            <w:gridSpan w:val="5"/>
            <w:tcBorders>
              <w:bottom w:val="single" w:sz="4" w:space="0" w:color="auto"/>
            </w:tcBorders>
          </w:tcPr>
          <w:p>
            <w:pPr>
              <w:pStyle w:val="yTable"/>
              <w:spacing w:before="0"/>
              <w:rPr>
                <w:sz w:val="20"/>
              </w:rPr>
            </w:pPr>
          </w:p>
        </w:tc>
      </w:tr>
      <w:tr>
        <w:trPr>
          <w:cantSplit/>
          <w:trHeight w:val="220"/>
        </w:trPr>
        <w:tc>
          <w:tcPr>
            <w:tcW w:w="1418" w:type="dxa"/>
            <w:vMerge w:val="restart"/>
          </w:tcPr>
          <w:p>
            <w:pPr>
              <w:pStyle w:val="yTable"/>
              <w:spacing w:before="0"/>
              <w:rPr>
                <w:sz w:val="20"/>
              </w:rPr>
            </w:pPr>
            <w:r>
              <w:rPr>
                <w:sz w:val="20"/>
              </w:rPr>
              <w:t>Officer issuing this notice</w:t>
            </w:r>
          </w:p>
        </w:tc>
        <w:tc>
          <w:tcPr>
            <w:tcW w:w="1276" w:type="dxa"/>
          </w:tcPr>
          <w:p>
            <w:pPr>
              <w:pStyle w:val="yTable"/>
              <w:spacing w:before="0"/>
              <w:rPr>
                <w:sz w:val="20"/>
              </w:rPr>
            </w:pPr>
            <w:r>
              <w:rPr>
                <w:sz w:val="20"/>
              </w:rPr>
              <w:t>Name</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 xml:space="preserve">Office </w:t>
            </w:r>
          </w:p>
        </w:tc>
        <w:tc>
          <w:tcPr>
            <w:tcW w:w="4394" w:type="dxa"/>
            <w:gridSpan w:val="4"/>
          </w:tcPr>
          <w:p>
            <w:pPr>
              <w:pStyle w:val="yTable"/>
              <w:spacing w:before="0"/>
              <w:rPr>
                <w:sz w:val="20"/>
              </w:rPr>
            </w:pPr>
          </w:p>
        </w:tc>
      </w:tr>
      <w:tr>
        <w:trPr>
          <w:cantSplit/>
          <w:trHeight w:val="220"/>
        </w:trPr>
        <w:tc>
          <w:tcPr>
            <w:tcW w:w="1418" w:type="dxa"/>
            <w:vMerge/>
          </w:tcPr>
          <w:p>
            <w:pPr>
              <w:pStyle w:val="yTable"/>
              <w:spacing w:before="0"/>
              <w:rPr>
                <w:sz w:val="20"/>
              </w:rPr>
            </w:pPr>
          </w:p>
        </w:tc>
        <w:tc>
          <w:tcPr>
            <w:tcW w:w="1276" w:type="dxa"/>
          </w:tcPr>
          <w:p>
            <w:pPr>
              <w:pStyle w:val="yTable"/>
              <w:spacing w:before="0"/>
              <w:rPr>
                <w:sz w:val="20"/>
              </w:rPr>
            </w:pPr>
            <w:r>
              <w:rPr>
                <w:sz w:val="20"/>
              </w:rPr>
              <w:t>Signature</w:t>
            </w:r>
          </w:p>
        </w:tc>
        <w:tc>
          <w:tcPr>
            <w:tcW w:w="4394" w:type="dxa"/>
            <w:gridSpan w:val="4"/>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Notice to alleged offender</w:t>
            </w:r>
          </w:p>
        </w:tc>
        <w:tc>
          <w:tcPr>
            <w:tcW w:w="5670" w:type="dxa"/>
            <w:gridSpan w:val="5"/>
            <w:tcBorders>
              <w:bottom w:val="single" w:sz="4" w:space="0" w:color="auto"/>
            </w:tcBorders>
          </w:tcPr>
          <w:p>
            <w:pPr>
              <w:pStyle w:val="yTable"/>
              <w:spacing w:before="0"/>
              <w:rPr>
                <w:sz w:val="20"/>
              </w:rPr>
            </w:pPr>
            <w:r>
              <w:rPr>
                <w:sz w:val="20"/>
              </w:rPr>
              <w:t>The above infringement notice, which was issued for the above alleged offence, has been withdrawn.</w:t>
            </w:r>
          </w:p>
          <w:p>
            <w:pPr>
              <w:pStyle w:val="yTable"/>
              <w:spacing w:before="0"/>
              <w:rPr>
                <w:sz w:val="20"/>
              </w:rPr>
            </w:pPr>
            <w:r>
              <w:rPr>
                <w:sz w:val="20"/>
              </w:rPr>
              <w:t>If you have already paid the modified penalty in accordance with the infringement notice, you are entitled to a refund of the money.</w:t>
            </w:r>
          </w:p>
          <w:p>
            <w:pPr>
              <w:pStyle w:val="yTable"/>
              <w:spacing w:before="0"/>
              <w:rPr>
                <w:sz w:val="20"/>
              </w:rPr>
            </w:pPr>
            <w:r>
              <w:rPr>
                <w:sz w:val="20"/>
              </w:rPr>
              <w:t>To obtain a refund post this notice to —</w:t>
            </w:r>
          </w:p>
          <w:p>
            <w:pPr>
              <w:pStyle w:val="yTable"/>
              <w:spacing w:before="0"/>
              <w:ind w:left="369"/>
              <w:rPr>
                <w:rStyle w:val="DraftersNotes"/>
                <w:b w:val="0"/>
                <w:bCs/>
                <w:i w:val="0"/>
                <w:iCs/>
              </w:rPr>
            </w:pPr>
            <w:r>
              <w:rPr>
                <w:rStyle w:val="DraftersNotes"/>
                <w:b w:val="0"/>
                <w:bCs/>
                <w:i w:val="0"/>
                <w:iCs/>
              </w:rPr>
              <w:t>Resources Safety</w:t>
            </w:r>
          </w:p>
          <w:p>
            <w:pPr>
              <w:pStyle w:val="yTable"/>
              <w:spacing w:before="0"/>
              <w:ind w:left="369"/>
              <w:rPr>
                <w:rStyle w:val="DraftersNotes"/>
                <w:b w:val="0"/>
                <w:bCs/>
                <w:i w:val="0"/>
                <w:iCs/>
              </w:rPr>
            </w:pPr>
            <w:r>
              <w:rPr>
                <w:rStyle w:val="DraftersNotes"/>
                <w:b w:val="0"/>
                <w:bCs/>
                <w:i w:val="0"/>
                <w:iCs/>
              </w:rPr>
              <w:t>Department of Consumer and Employment Protection</w:t>
            </w:r>
          </w:p>
          <w:p>
            <w:pPr>
              <w:pStyle w:val="yTable"/>
              <w:spacing w:before="0"/>
              <w:ind w:left="369"/>
              <w:rPr>
                <w:rStyle w:val="DraftersNotes"/>
                <w:b w:val="0"/>
                <w:bCs/>
                <w:i w:val="0"/>
                <w:iCs/>
              </w:rPr>
            </w:pPr>
            <w:r>
              <w:rPr>
                <w:rStyle w:val="DraftersNotes"/>
                <w:b w:val="0"/>
                <w:bCs/>
                <w:i w:val="0"/>
                <w:iCs/>
              </w:rPr>
              <w:t>Locked Bag 14, Cloisters Square, WA, 6850.</w:t>
            </w:r>
          </w:p>
        </w:tc>
      </w:tr>
    </w:tbl>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p>
    <w:p>
      <w:pPr>
        <w:pStyle w:val="nHeading2"/>
      </w:pPr>
      <w:bookmarkStart w:id="25" w:name="_Toc191981088"/>
      <w:r>
        <w:t>Notes</w:t>
      </w:r>
      <w:bookmarkEnd w:id="25"/>
    </w:p>
    <w:p>
      <w:pPr>
        <w:pStyle w:val="nSubsection"/>
        <w:rPr>
          <w:snapToGrid w:val="0"/>
        </w:rPr>
      </w:pPr>
      <w:r>
        <w:rPr>
          <w:snapToGrid w:val="0"/>
          <w:vertAlign w:val="superscript"/>
        </w:rPr>
        <w:t>1</w:t>
      </w:r>
      <w:r>
        <w:rPr>
          <w:snapToGrid w:val="0"/>
        </w:rPr>
        <w:tab/>
        <w:t xml:space="preserve">This is a compilation of the </w:t>
      </w:r>
      <w:r>
        <w:rPr>
          <w:i/>
        </w:rPr>
        <w:t>Dangerous Goods Safety (General) Regulations 2007.</w:t>
      </w:r>
      <w:r>
        <w:t xml:space="preserve">  </w:t>
      </w:r>
      <w:r>
        <w:rPr>
          <w:snapToGrid w:val="0"/>
        </w:rPr>
        <w:t>The following table contains information about those regulations.</w:t>
      </w:r>
    </w:p>
    <w:p>
      <w:pPr>
        <w:pStyle w:val="nHeading3"/>
      </w:pPr>
      <w:bookmarkStart w:id="26" w:name="_Toc191981089"/>
      <w:r>
        <w:t>Compilation table</w:t>
      </w:r>
      <w:bookmarkEnd w:id="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(General) Regulations 2007</w:t>
            </w:r>
            <w:r>
              <w:rPr>
                <w:sz w:val="19"/>
              </w:rPr>
              <w:t xml:space="preserve"> </w:t>
            </w:r>
          </w:p>
        </w:tc>
        <w:tc>
          <w:tcPr>
            <w:tcW w:w="1276" w:type="dxa"/>
          </w:tcPr>
          <w:p>
            <w:pPr>
              <w:pStyle w:val="nTable"/>
              <w:spacing w:after="40"/>
              <w:rPr>
                <w:sz w:val="19"/>
              </w:rPr>
            </w:pPr>
            <w:r>
              <w:rPr>
                <w:sz w:val="19"/>
              </w:rPr>
              <w:t>31 Dec 2007 p. 7143-60</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bookmarkStart w:id="27" w:name="AutoSch"/>
      <w:bookmarkEnd w:id="27"/>
    </w:p>
    <w:p/>
    <w:sectPr>
      <w:headerReference w:type="even" r:id="rId3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(General)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Specific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fldSimple w:instr=" styleref CharSchText ">
            <w:r>
              <w:rPr>
                <w:noProof/>
              </w:rPr>
              <w:t>Specific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16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EA19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A0FE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ECF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9CD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B29E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2220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A54E3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1A6894"/>
    <w:lvl w:ilvl="0">
      <w:start w:val="1"/>
      <w:numFmt w:val="decimal"/>
      <w:pStyle w:val="ListNumber"/>
      <w:lvlText w:val="%1."/>
      <w:lvlJc w:val="left"/>
      <w:pPr>
        <w:tabs>
          <w:tab w:val="num" w:pos="360"/>
        </w:tabs>
        <w:ind w:left="360" w:hanging="360"/>
      </w:pPr>
    </w:lvl>
  </w:abstractNum>
  <w:abstractNum w:abstractNumId="9">
    <w:nsid w:val="FFFFFF89"/>
    <w:multiLevelType w:val="singleLevel"/>
    <w:tmpl w:val="9D08D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B9EFC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D0CDE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18"/>
    <w:docVar w:name="WAFER_20151216150418" w:val="RemoveTrackChanges"/>
    <w:docVar w:name="WAFER_20151216150418_GUID" w:val="4468356f-05f0-45ab-9727-c440492ab6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2656</Words>
  <Characters>13096</Characters>
  <Application>Microsoft Office Word</Application>
  <DocSecurity>0</DocSecurity>
  <Lines>523</Lines>
  <Paragraphs>342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 matters</vt:lpstr>
      <vt:lpstr>    Part 2 — Matters for the Act Parts 1 and 2</vt:lpstr>
      <vt:lpstr>    Part 3 — Matters for the Act Part 4</vt:lpstr>
      <vt:lpstr>    Part 4 — Matters for the Act Part 5</vt:lpstr>
      <vt:lpstr>    Part 5 — Infringement notices</vt:lpstr>
      <vt:lpstr>Schedule 1 — Specific dangerous goods</vt:lpstr>
      <vt:lpstr>    Schedule 2 — Forms</vt:lpstr>
      <vt:lpstr>    Notes</vt:lpstr>
    </vt:vector>
  </TitlesOfParts>
  <Manager/>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2007 - 00-b0-04</dc:title>
  <dc:subject/>
  <dc:creator/>
  <cp:keywords/>
  <dc:description/>
  <cp:lastModifiedBy>svcMRProcess</cp:lastModifiedBy>
  <cp:revision>4</cp:revision>
  <cp:lastPrinted>2006-12-05T07:12:00Z</cp:lastPrinted>
  <dcterms:created xsi:type="dcterms:W3CDTF">2015-12-16T10:05:00Z</dcterms:created>
  <dcterms:modified xsi:type="dcterms:W3CDTF">2015-12-16T10:05:00Z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37439</vt:i4>
  </property>
  <property fmtid="{D5CDD505-2E9C-101B-9397-08002B2CF9AE}" pid="6" name="AsAtDate">
    <vt:lpwstr>01 Mar 2008</vt:lpwstr>
  </property>
  <property fmtid="{D5CDD505-2E9C-101B-9397-08002B2CF9AE}" pid="7" name="Suffix">
    <vt:lpwstr>00-b0-04</vt:lpwstr>
  </property>
</Properties>
</file>