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tabs>
          <w:tab w:val="left" w:pos="5529"/>
        </w:tabs>
        <w:spacing w:before="3760" w:after="4200"/>
        <w:ind w:left="1080" w:right="1096"/>
      </w:pPr>
      <w:r>
        <w:fldChar w:fldCharType="begin"/>
      </w:r>
      <w:r>
        <w:instrText xml:space="preserve"> STYLEREF "Name Of Act/Reg"</w:instrText>
      </w:r>
      <w:r>
        <w:fldChar w:fldCharType="separate"/>
      </w:r>
      <w:r>
        <w:rPr>
          <w:noProof/>
        </w:rPr>
        <w:t>Emergency Management Regulations 2006</w:t>
      </w:r>
      <w:bookmarkStart w:id="1" w:name="UpToHere"/>
      <w:bookmarkEnd w:id="1"/>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Emergency Management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zCs w:val="24"/>
        </w:rPr>
        <w:tab/>
        <w:t>Citation</w:t>
      </w:r>
      <w:r>
        <w:tab/>
      </w:r>
      <w:r>
        <w:fldChar w:fldCharType="begin"/>
      </w:r>
      <w:r>
        <w:instrText xml:space="preserve"> PAGEREF _Toc193529491 \h </w:instrText>
      </w:r>
      <w:r>
        <w:fldChar w:fldCharType="separate"/>
      </w:r>
      <w:r>
        <w:t>2</w:t>
      </w:r>
      <w:r>
        <w:fldChar w:fldCharType="end"/>
      </w:r>
    </w:p>
    <w:p>
      <w:pPr>
        <w:pStyle w:val="TOC2"/>
        <w:tabs>
          <w:tab w:val="right" w:leader="dot" w:pos="7086"/>
        </w:tabs>
        <w:rPr>
          <w:b w:val="0"/>
          <w:sz w:val="24"/>
          <w:szCs w:val="24"/>
        </w:rPr>
      </w:pPr>
      <w:r>
        <w:rPr>
          <w:szCs w:val="30"/>
        </w:rPr>
        <w:t>Part 2 — The State Emergency Management Committee</w:t>
      </w:r>
    </w:p>
    <w:p>
      <w:pPr>
        <w:pStyle w:val="TOC8"/>
        <w:rPr>
          <w:sz w:val="24"/>
          <w:szCs w:val="24"/>
        </w:rPr>
      </w:pPr>
      <w:r>
        <w:rPr>
          <w:szCs w:val="24"/>
        </w:rPr>
        <w:t>2.</w:t>
      </w:r>
      <w:r>
        <w:rPr>
          <w:szCs w:val="24"/>
        </w:rPr>
        <w:tab/>
        <w:t>Membership of the SEMC</w:t>
      </w:r>
      <w:r>
        <w:tab/>
      </w:r>
      <w:r>
        <w:fldChar w:fldCharType="begin"/>
      </w:r>
      <w:r>
        <w:instrText xml:space="preserve"> PAGEREF _Toc193529493 \h </w:instrText>
      </w:r>
      <w:r>
        <w:fldChar w:fldCharType="separate"/>
      </w:r>
      <w:r>
        <w:t>3</w:t>
      </w:r>
      <w:r>
        <w:fldChar w:fldCharType="end"/>
      </w:r>
    </w:p>
    <w:p>
      <w:pPr>
        <w:pStyle w:val="TOC8"/>
        <w:rPr>
          <w:sz w:val="24"/>
          <w:szCs w:val="24"/>
        </w:rPr>
      </w:pPr>
      <w:r>
        <w:rPr>
          <w:szCs w:val="24"/>
        </w:rPr>
        <w:t>3.</w:t>
      </w:r>
      <w:r>
        <w:rPr>
          <w:szCs w:val="24"/>
        </w:rPr>
        <w:tab/>
        <w:t>Term of office</w:t>
      </w:r>
      <w:r>
        <w:tab/>
      </w:r>
      <w:r>
        <w:fldChar w:fldCharType="begin"/>
      </w:r>
      <w:r>
        <w:instrText xml:space="preserve"> PAGEREF _Toc193529494 \h </w:instrText>
      </w:r>
      <w:r>
        <w:fldChar w:fldCharType="separate"/>
      </w:r>
      <w:r>
        <w:t>3</w:t>
      </w:r>
      <w:r>
        <w:fldChar w:fldCharType="end"/>
      </w:r>
    </w:p>
    <w:p>
      <w:pPr>
        <w:pStyle w:val="TOC8"/>
        <w:rPr>
          <w:sz w:val="24"/>
          <w:szCs w:val="24"/>
        </w:rPr>
      </w:pPr>
      <w:r>
        <w:rPr>
          <w:szCs w:val="24"/>
        </w:rPr>
        <w:t>4.</w:t>
      </w:r>
      <w:r>
        <w:rPr>
          <w:szCs w:val="24"/>
        </w:rPr>
        <w:tab/>
        <w:t>Vacancies</w:t>
      </w:r>
      <w:r>
        <w:tab/>
      </w:r>
      <w:r>
        <w:fldChar w:fldCharType="begin"/>
      </w:r>
      <w:r>
        <w:instrText xml:space="preserve"> PAGEREF _Toc193529495 \h </w:instrText>
      </w:r>
      <w:r>
        <w:fldChar w:fldCharType="separate"/>
      </w:r>
      <w:r>
        <w:t>4</w:t>
      </w:r>
      <w:r>
        <w:fldChar w:fldCharType="end"/>
      </w:r>
    </w:p>
    <w:p>
      <w:pPr>
        <w:pStyle w:val="TOC8"/>
        <w:rPr>
          <w:sz w:val="24"/>
          <w:szCs w:val="24"/>
        </w:rPr>
      </w:pPr>
      <w:r>
        <w:rPr>
          <w:szCs w:val="24"/>
        </w:rPr>
        <w:t>5.</w:t>
      </w:r>
      <w:r>
        <w:rPr>
          <w:szCs w:val="24"/>
        </w:rPr>
        <w:tab/>
        <w:t>Leave of absence</w:t>
      </w:r>
      <w:r>
        <w:tab/>
      </w:r>
      <w:r>
        <w:fldChar w:fldCharType="begin"/>
      </w:r>
      <w:r>
        <w:instrText xml:space="preserve"> PAGEREF _Toc193529496 \h </w:instrText>
      </w:r>
      <w:r>
        <w:fldChar w:fldCharType="separate"/>
      </w:r>
      <w:r>
        <w:t>4</w:t>
      </w:r>
      <w:r>
        <w:fldChar w:fldCharType="end"/>
      </w:r>
    </w:p>
    <w:p>
      <w:pPr>
        <w:pStyle w:val="TOC8"/>
        <w:rPr>
          <w:sz w:val="24"/>
          <w:szCs w:val="24"/>
        </w:rPr>
      </w:pPr>
      <w:r>
        <w:rPr>
          <w:szCs w:val="24"/>
        </w:rPr>
        <w:t>6.</w:t>
      </w:r>
      <w:r>
        <w:rPr>
          <w:szCs w:val="24"/>
        </w:rPr>
        <w:tab/>
        <w:t>Chairman unable to act</w:t>
      </w:r>
      <w:r>
        <w:tab/>
      </w:r>
      <w:r>
        <w:fldChar w:fldCharType="begin"/>
      </w:r>
      <w:r>
        <w:instrText xml:space="preserve"> PAGEREF _Toc193529497 \h </w:instrText>
      </w:r>
      <w:r>
        <w:fldChar w:fldCharType="separate"/>
      </w:r>
      <w:r>
        <w:t>4</w:t>
      </w:r>
      <w:r>
        <w:fldChar w:fldCharType="end"/>
      </w:r>
    </w:p>
    <w:p>
      <w:pPr>
        <w:pStyle w:val="TOC8"/>
        <w:rPr>
          <w:sz w:val="24"/>
          <w:szCs w:val="24"/>
        </w:rPr>
      </w:pPr>
      <w:r>
        <w:rPr>
          <w:szCs w:val="24"/>
        </w:rPr>
        <w:t>7.</w:t>
      </w:r>
      <w:r>
        <w:rPr>
          <w:szCs w:val="24"/>
        </w:rPr>
        <w:tab/>
        <w:t>Deputy members</w:t>
      </w:r>
      <w:r>
        <w:tab/>
      </w:r>
      <w:r>
        <w:fldChar w:fldCharType="begin"/>
      </w:r>
      <w:r>
        <w:instrText xml:space="preserve"> PAGEREF _Toc193529498 \h </w:instrText>
      </w:r>
      <w:r>
        <w:fldChar w:fldCharType="separate"/>
      </w:r>
      <w:r>
        <w:t>5</w:t>
      </w:r>
      <w:r>
        <w:fldChar w:fldCharType="end"/>
      </w:r>
    </w:p>
    <w:p>
      <w:pPr>
        <w:pStyle w:val="TOC8"/>
        <w:rPr>
          <w:sz w:val="24"/>
          <w:szCs w:val="24"/>
        </w:rPr>
      </w:pPr>
      <w:r>
        <w:rPr>
          <w:szCs w:val="24"/>
        </w:rPr>
        <w:t>8.</w:t>
      </w:r>
      <w:r>
        <w:rPr>
          <w:szCs w:val="24"/>
        </w:rPr>
        <w:tab/>
        <w:t>Saving</w:t>
      </w:r>
      <w:r>
        <w:tab/>
      </w:r>
      <w:r>
        <w:fldChar w:fldCharType="begin"/>
      </w:r>
      <w:r>
        <w:instrText xml:space="preserve"> PAGEREF _Toc193529499 \h </w:instrText>
      </w:r>
      <w:r>
        <w:fldChar w:fldCharType="separate"/>
      </w:r>
      <w:r>
        <w:t>5</w:t>
      </w:r>
      <w:r>
        <w:fldChar w:fldCharType="end"/>
      </w:r>
    </w:p>
    <w:p>
      <w:pPr>
        <w:pStyle w:val="TOC8"/>
        <w:rPr>
          <w:sz w:val="24"/>
          <w:szCs w:val="24"/>
        </w:rPr>
      </w:pPr>
      <w:r>
        <w:rPr>
          <w:szCs w:val="24"/>
        </w:rPr>
        <w:t>9.</w:t>
      </w:r>
      <w:r>
        <w:rPr>
          <w:szCs w:val="24"/>
        </w:rPr>
        <w:tab/>
        <w:t>Calling of meeting</w:t>
      </w:r>
      <w:r>
        <w:tab/>
      </w:r>
      <w:r>
        <w:fldChar w:fldCharType="begin"/>
      </w:r>
      <w:r>
        <w:instrText xml:space="preserve"> PAGEREF _Toc193529500 \h </w:instrText>
      </w:r>
      <w:r>
        <w:fldChar w:fldCharType="separate"/>
      </w:r>
      <w:r>
        <w:t>5</w:t>
      </w:r>
      <w:r>
        <w:fldChar w:fldCharType="end"/>
      </w:r>
    </w:p>
    <w:p>
      <w:pPr>
        <w:pStyle w:val="TOC8"/>
        <w:rPr>
          <w:sz w:val="24"/>
          <w:szCs w:val="24"/>
        </w:rPr>
      </w:pPr>
      <w:r>
        <w:rPr>
          <w:szCs w:val="24"/>
        </w:rPr>
        <w:t>10.</w:t>
      </w:r>
      <w:r>
        <w:rPr>
          <w:szCs w:val="24"/>
        </w:rPr>
        <w:tab/>
        <w:t>Quorum</w:t>
      </w:r>
      <w:r>
        <w:tab/>
      </w:r>
      <w:r>
        <w:fldChar w:fldCharType="begin"/>
      </w:r>
      <w:r>
        <w:instrText xml:space="preserve"> PAGEREF _Toc193529501 \h </w:instrText>
      </w:r>
      <w:r>
        <w:fldChar w:fldCharType="separate"/>
      </w:r>
      <w:r>
        <w:t>5</w:t>
      </w:r>
      <w:r>
        <w:fldChar w:fldCharType="end"/>
      </w:r>
    </w:p>
    <w:p>
      <w:pPr>
        <w:pStyle w:val="TOC8"/>
        <w:rPr>
          <w:sz w:val="24"/>
          <w:szCs w:val="24"/>
        </w:rPr>
      </w:pPr>
      <w:r>
        <w:rPr>
          <w:szCs w:val="24"/>
        </w:rPr>
        <w:t>11.</w:t>
      </w:r>
      <w:r>
        <w:rPr>
          <w:szCs w:val="24"/>
        </w:rPr>
        <w:tab/>
        <w:t>Minutes</w:t>
      </w:r>
      <w:r>
        <w:tab/>
      </w:r>
      <w:r>
        <w:fldChar w:fldCharType="begin"/>
      </w:r>
      <w:r>
        <w:instrText xml:space="preserve"> PAGEREF _Toc193529502 \h </w:instrText>
      </w:r>
      <w:r>
        <w:fldChar w:fldCharType="separate"/>
      </w:r>
      <w:r>
        <w:t>6</w:t>
      </w:r>
      <w:r>
        <w:fldChar w:fldCharType="end"/>
      </w:r>
    </w:p>
    <w:p>
      <w:pPr>
        <w:pStyle w:val="TOC8"/>
        <w:rPr>
          <w:sz w:val="24"/>
          <w:szCs w:val="24"/>
        </w:rPr>
      </w:pPr>
      <w:r>
        <w:rPr>
          <w:szCs w:val="24"/>
        </w:rPr>
        <w:t>12.</w:t>
      </w:r>
      <w:r>
        <w:rPr>
          <w:szCs w:val="24"/>
        </w:rPr>
        <w:tab/>
        <w:t>Holding meetings remotely</w:t>
      </w:r>
      <w:r>
        <w:tab/>
      </w:r>
      <w:r>
        <w:fldChar w:fldCharType="begin"/>
      </w:r>
      <w:r>
        <w:instrText xml:space="preserve"> PAGEREF _Toc193529503 \h </w:instrText>
      </w:r>
      <w:r>
        <w:fldChar w:fldCharType="separate"/>
      </w:r>
      <w:r>
        <w:t>6</w:t>
      </w:r>
      <w:r>
        <w:fldChar w:fldCharType="end"/>
      </w:r>
    </w:p>
    <w:p>
      <w:pPr>
        <w:pStyle w:val="TOC8"/>
        <w:rPr>
          <w:sz w:val="24"/>
          <w:szCs w:val="24"/>
        </w:rPr>
      </w:pPr>
      <w:r>
        <w:rPr>
          <w:szCs w:val="24"/>
        </w:rPr>
        <w:t>13.</w:t>
      </w:r>
      <w:r>
        <w:rPr>
          <w:szCs w:val="24"/>
        </w:rPr>
        <w:tab/>
        <w:t>Resolution without meeting</w:t>
      </w:r>
      <w:r>
        <w:tab/>
      </w:r>
      <w:r>
        <w:fldChar w:fldCharType="begin"/>
      </w:r>
      <w:r>
        <w:instrText xml:space="preserve"> PAGEREF _Toc193529504 \h </w:instrText>
      </w:r>
      <w:r>
        <w:fldChar w:fldCharType="separate"/>
      </w:r>
      <w:r>
        <w:t>6</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Hazard management</w:t>
      </w:r>
    </w:p>
    <w:p>
      <w:pPr>
        <w:pStyle w:val="TOC8"/>
        <w:rPr>
          <w:sz w:val="24"/>
          <w:szCs w:val="24"/>
        </w:rPr>
      </w:pPr>
      <w:r>
        <w:rPr>
          <w:szCs w:val="24"/>
        </w:rPr>
        <w:t>14.</w:t>
      </w:r>
      <w:r>
        <w:rPr>
          <w:szCs w:val="24"/>
        </w:rPr>
        <w:tab/>
        <w:t>Meaning of terms</w:t>
      </w:r>
      <w:r>
        <w:tab/>
      </w:r>
      <w:r>
        <w:fldChar w:fldCharType="begin"/>
      </w:r>
      <w:r>
        <w:instrText xml:space="preserve"> PAGEREF _Toc193529506 \h </w:instrText>
      </w:r>
      <w:r>
        <w:fldChar w:fldCharType="separate"/>
      </w:r>
      <w:r>
        <w:t>7</w:t>
      </w:r>
      <w:r>
        <w:fldChar w:fldCharType="end"/>
      </w:r>
    </w:p>
    <w:p>
      <w:pPr>
        <w:pStyle w:val="TOC8"/>
        <w:rPr>
          <w:sz w:val="24"/>
          <w:szCs w:val="24"/>
        </w:rPr>
      </w:pPr>
      <w:r>
        <w:rPr>
          <w:szCs w:val="24"/>
        </w:rPr>
        <w:t>15.</w:t>
      </w:r>
      <w:r>
        <w:rPr>
          <w:szCs w:val="24"/>
        </w:rPr>
        <w:tab/>
        <w:t>Events, situations and conditions prescribed as hazards</w:t>
      </w:r>
      <w:r>
        <w:tab/>
      </w:r>
      <w:r>
        <w:fldChar w:fldCharType="begin"/>
      </w:r>
      <w:r>
        <w:instrText xml:space="preserve"> PAGEREF _Toc193529507 \h </w:instrText>
      </w:r>
      <w:r>
        <w:fldChar w:fldCharType="separate"/>
      </w:r>
      <w:r>
        <w:t>7</w:t>
      </w:r>
      <w:r>
        <w:fldChar w:fldCharType="end"/>
      </w:r>
    </w:p>
    <w:p>
      <w:pPr>
        <w:pStyle w:val="TOC8"/>
        <w:rPr>
          <w:sz w:val="24"/>
          <w:szCs w:val="24"/>
        </w:rPr>
      </w:pPr>
      <w:r>
        <w:rPr>
          <w:szCs w:val="24"/>
        </w:rPr>
        <w:t>16.</w:t>
      </w:r>
      <w:r>
        <w:rPr>
          <w:szCs w:val="24"/>
        </w:rPr>
        <w:tab/>
        <w:t>Hazard management agency — Commissioner of Police</w:t>
      </w:r>
      <w:r>
        <w:tab/>
      </w:r>
      <w:r>
        <w:fldChar w:fldCharType="begin"/>
      </w:r>
      <w:r>
        <w:instrText xml:space="preserve"> PAGEREF _Toc193529508 \h </w:instrText>
      </w:r>
      <w:r>
        <w:fldChar w:fldCharType="separate"/>
      </w:r>
      <w:r>
        <w:t>8</w:t>
      </w:r>
      <w:r>
        <w:fldChar w:fldCharType="end"/>
      </w:r>
    </w:p>
    <w:p>
      <w:pPr>
        <w:pStyle w:val="TOC8"/>
        <w:rPr>
          <w:sz w:val="24"/>
          <w:szCs w:val="24"/>
        </w:rPr>
      </w:pPr>
      <w:r>
        <w:rPr>
          <w:szCs w:val="24"/>
        </w:rPr>
        <w:t>17.</w:t>
      </w:r>
      <w:r>
        <w:rPr>
          <w:szCs w:val="24"/>
        </w:rPr>
        <w:tab/>
        <w:t>Hazard management agency — FESA</w:t>
      </w:r>
      <w:r>
        <w:tab/>
      </w:r>
      <w:r>
        <w:fldChar w:fldCharType="begin"/>
      </w:r>
      <w:r>
        <w:instrText xml:space="preserve"> PAGEREF _Toc193529509 \h </w:instrText>
      </w:r>
      <w:r>
        <w:fldChar w:fldCharType="separate"/>
      </w:r>
      <w:r>
        <w:t>8</w:t>
      </w:r>
      <w:r>
        <w:fldChar w:fldCharType="end"/>
      </w:r>
    </w:p>
    <w:p>
      <w:pPr>
        <w:pStyle w:val="TOC8"/>
        <w:rPr>
          <w:sz w:val="24"/>
          <w:szCs w:val="24"/>
        </w:rPr>
      </w:pPr>
      <w:r>
        <w:rPr>
          <w:szCs w:val="24"/>
        </w:rPr>
        <w:t>18.</w:t>
      </w:r>
      <w:r>
        <w:rPr>
          <w:szCs w:val="24"/>
        </w:rPr>
        <w:tab/>
        <w:t>Hazard management agency — State Health Coordinator</w:t>
      </w:r>
      <w:r>
        <w:tab/>
      </w:r>
      <w:r>
        <w:fldChar w:fldCharType="begin"/>
      </w:r>
      <w:r>
        <w:instrText xml:space="preserve"> PAGEREF _Toc193529510 \h </w:instrText>
      </w:r>
      <w:r>
        <w:fldChar w:fldCharType="separate"/>
      </w:r>
      <w:r>
        <w:t>9</w:t>
      </w:r>
      <w:r>
        <w:fldChar w:fldCharType="end"/>
      </w:r>
    </w:p>
    <w:p>
      <w:pPr>
        <w:pStyle w:val="TOC2"/>
        <w:tabs>
          <w:tab w:val="right" w:leader="dot" w:pos="7086"/>
        </w:tabs>
        <w:rPr>
          <w:b w:val="0"/>
          <w:sz w:val="24"/>
          <w:szCs w:val="24"/>
        </w:rPr>
      </w:pPr>
      <w:r>
        <w:rPr>
          <w:szCs w:val="26"/>
        </w:rPr>
        <w:lastRenderedPageBreak/>
        <w:t>Notes</w:t>
      </w:r>
    </w:p>
    <w:p>
      <w:pPr>
        <w:pStyle w:val="TOC8"/>
        <w:rPr>
          <w:sz w:val="24"/>
          <w:szCs w:val="24"/>
        </w:rPr>
      </w:pPr>
      <w:r>
        <w:rPr>
          <w:szCs w:val="24"/>
        </w:rPr>
        <w:tab/>
        <w:t>Compilation table</w:t>
      </w:r>
      <w:r>
        <w:tab/>
      </w:r>
      <w:r>
        <w:fldChar w:fldCharType="begin"/>
      </w:r>
      <w:r>
        <w:instrText xml:space="preserve"> PAGEREF _Toc193529512 \h </w:instrText>
      </w:r>
      <w:r>
        <w:fldChar w:fldCharType="separate"/>
      </w:r>
      <w:r>
        <w:t>10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Emergency Management Act 2005</w:t>
      </w:r>
    </w:p>
    <w:p>
      <w:pPr>
        <w:pStyle w:val="NameofActReg"/>
      </w:pPr>
      <w:r>
        <w:t>Emergency Management Regulations 2006</w:t>
      </w:r>
    </w:p>
    <w:p>
      <w:pPr>
        <w:pStyle w:val="Heading2"/>
        <w:rPr>
          <w:rStyle w:val="CharPartText"/>
        </w:rPr>
      </w:pPr>
      <w:bookmarkStart w:id="2" w:name="_Toc156291561"/>
      <w:bookmarkStart w:id="3" w:name="_Toc193529490"/>
      <w:bookmarkStart w:id="4" w:name="_Toc423332722"/>
      <w:bookmarkStart w:id="5" w:name="_Toc425219441"/>
      <w:bookmarkStart w:id="6" w:name="_Toc426249308"/>
      <w:bookmarkStart w:id="7" w:name="_Toc449924704"/>
      <w:bookmarkStart w:id="8" w:name="_Toc449947722"/>
      <w:bookmarkStart w:id="9" w:name="_Toc454185713"/>
      <w:bookmarkStart w:id="10" w:name="_Toc515958686"/>
      <w:r>
        <w:rPr>
          <w:rStyle w:val="CharPartNo"/>
        </w:rPr>
        <w:t>Part 1</w:t>
      </w:r>
      <w:r>
        <w:rPr>
          <w:b w:val="0"/>
        </w:rPr>
        <w:t> </w:t>
      </w:r>
      <w:r>
        <w:t>—</w:t>
      </w:r>
      <w:r>
        <w:rPr>
          <w:b w:val="0"/>
        </w:rPr>
        <w:t> </w:t>
      </w:r>
      <w:r>
        <w:rPr>
          <w:rStyle w:val="CharPartText"/>
        </w:rPr>
        <w:t>Preliminary</w:t>
      </w:r>
      <w:bookmarkEnd w:id="2"/>
      <w:bookmarkEnd w:id="3"/>
    </w:p>
    <w:p>
      <w:pPr>
        <w:pStyle w:val="Footnoteheading"/>
      </w:pPr>
      <w:r>
        <w:tab/>
        <w:t>[Heading inserted in Gazette 12 Jan 2007 p. 50.]</w:t>
      </w:r>
    </w:p>
    <w:p>
      <w:pPr>
        <w:pStyle w:val="Heading5"/>
      </w:pPr>
      <w:bookmarkStart w:id="11" w:name="_Toc193529491"/>
      <w:r>
        <w:rPr>
          <w:rStyle w:val="CharSectno"/>
        </w:rPr>
        <w:t>1</w:t>
      </w:r>
      <w:r>
        <w:t>.</w:t>
      </w:r>
      <w:r>
        <w:tab/>
        <w:t>Citation</w:t>
      </w:r>
      <w:bookmarkEnd w:id="4"/>
      <w:bookmarkEnd w:id="5"/>
      <w:bookmarkEnd w:id="6"/>
      <w:bookmarkEnd w:id="7"/>
      <w:bookmarkEnd w:id="8"/>
      <w:bookmarkEnd w:id="9"/>
      <w:bookmarkEnd w:id="10"/>
      <w:bookmarkEnd w:id="11"/>
    </w:p>
    <w:p>
      <w:pPr>
        <w:pStyle w:val="Subsection"/>
        <w:ind w:right="282"/>
        <w:rPr>
          <w:i/>
        </w:rPr>
      </w:pPr>
      <w:r>
        <w:tab/>
      </w:r>
      <w:r>
        <w:tab/>
      </w:r>
      <w:bookmarkStart w:id="12" w:name="Start_Cursor"/>
      <w:bookmarkEnd w:id="12"/>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p>
    <w:p>
      <w:pPr>
        <w:pStyle w:val="Heading2"/>
      </w:pPr>
      <w:bookmarkStart w:id="13" w:name="_Toc156291563"/>
      <w:bookmarkStart w:id="14" w:name="_Toc193529492"/>
      <w:r>
        <w:rPr>
          <w:rStyle w:val="CharPartNo"/>
        </w:rPr>
        <w:t>Part 2</w:t>
      </w:r>
      <w:r>
        <w:t> — </w:t>
      </w:r>
      <w:r>
        <w:rPr>
          <w:rStyle w:val="CharPartText"/>
        </w:rPr>
        <w:t>The State Emergency Management Committee</w:t>
      </w:r>
      <w:bookmarkEnd w:id="13"/>
      <w:bookmarkEnd w:id="14"/>
    </w:p>
    <w:p>
      <w:pPr>
        <w:pStyle w:val="Footnoteheading"/>
      </w:pPr>
      <w:r>
        <w:tab/>
        <w:t>[Heading inserted in Gazette 12 Jan 2007 p. 50.]</w:t>
      </w:r>
    </w:p>
    <w:p>
      <w:pPr>
        <w:pStyle w:val="Heading5"/>
      </w:pPr>
      <w:bookmarkStart w:id="15" w:name="_Toc193529493"/>
      <w:r>
        <w:rPr>
          <w:rStyle w:val="CharSectno"/>
        </w:rPr>
        <w:t>2</w:t>
      </w:r>
      <w:r>
        <w:t>.</w:t>
      </w:r>
      <w:r>
        <w:tab/>
        <w:t>Membership of the SEMC</w:t>
      </w:r>
      <w:bookmarkEnd w:id="15"/>
    </w:p>
    <w:p>
      <w:pPr>
        <w:pStyle w:val="Subsection"/>
      </w:pPr>
      <w:r>
        <w:tab/>
      </w:r>
      <w:r>
        <w:tab/>
        <w:t xml:space="preserve">In addition to the members referred to in section 13(2)(a), (b), (c) and (d) of the Act, the SEMC is to consist of — </w:t>
      </w:r>
    </w:p>
    <w:p>
      <w:pPr>
        <w:pStyle w:val="Indenta"/>
      </w:pPr>
      <w:r>
        <w:tab/>
        <w:t>(a)</w:t>
      </w:r>
      <w:r>
        <w:tab/>
        <w:t xml:space="preserve">the chief executive officer of the department principally assisting the Minister administering the </w:t>
      </w:r>
      <w:r>
        <w:rPr>
          <w:i/>
          <w:iCs/>
        </w:rPr>
        <w:t>Health Act 1911</w:t>
      </w:r>
      <w:r>
        <w:t>, or a nominee of that chief executive officer, appointed by the Minister;</w:t>
      </w:r>
    </w:p>
    <w:p>
      <w:pPr>
        <w:pStyle w:val="Indenta"/>
      </w:pPr>
      <w:r>
        <w:tab/>
        <w:t>(b)</w:t>
      </w:r>
      <w:r>
        <w:tab/>
        <w:t xml:space="preserve">the chief executive officer of the department principally assisting the Minister administering the </w:t>
      </w:r>
      <w:r>
        <w:rPr>
          <w:i/>
          <w:iCs/>
        </w:rPr>
        <w:t>Children and Community Services Act 2004</w:t>
      </w:r>
      <w:r>
        <w:t>, or a nominee of that chief executive officer, appointed by the Minister; and</w:t>
      </w:r>
    </w:p>
    <w:p>
      <w:pPr>
        <w:pStyle w:val="Indenta"/>
      </w:pPr>
      <w:r>
        <w:tab/>
        <w:t>(c)</w:t>
      </w:r>
      <w:r>
        <w:tab/>
        <w:t>not more than 5 other members appointed by the Minister.</w:t>
      </w:r>
    </w:p>
    <w:p>
      <w:pPr>
        <w:pStyle w:val="Heading5"/>
      </w:pPr>
      <w:bookmarkStart w:id="16" w:name="_Toc193529494"/>
      <w:r>
        <w:rPr>
          <w:rStyle w:val="CharSectno"/>
        </w:rPr>
        <w:t>3</w:t>
      </w:r>
      <w:r>
        <w:t>.</w:t>
      </w:r>
      <w:r>
        <w:tab/>
        <w:t>Term of office</w:t>
      </w:r>
      <w:bookmarkEnd w:id="16"/>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17" w:name="_Toc193529495"/>
      <w:r>
        <w:rPr>
          <w:rStyle w:val="CharSectno"/>
        </w:rPr>
        <w:t>4</w:t>
      </w:r>
      <w:r>
        <w:t>.</w:t>
      </w:r>
      <w:r>
        <w:tab/>
        <w:t>Vacancies</w:t>
      </w:r>
      <w:bookmarkEnd w:id="17"/>
    </w:p>
    <w:p>
      <w:pPr>
        <w:pStyle w:val="Subsection"/>
      </w:pPr>
      <w:r>
        <w:tab/>
        <w:t>(1)</w:t>
      </w:r>
      <w:r>
        <w:tab/>
        <w:t xml:space="preserve">The office of a member becomes vacant if — </w:t>
      </w:r>
    </w:p>
    <w:p>
      <w:pPr>
        <w:pStyle w:val="Indenta"/>
      </w:pPr>
      <w:r>
        <w:tab/>
        <w:t>(a)</w:t>
      </w:r>
      <w:r>
        <w:tab/>
        <w:t>the member resigns the office by written notice addressed to the Minister;</w:t>
      </w:r>
    </w:p>
    <w:p>
      <w:pPr>
        <w:pStyle w:val="Indenta"/>
      </w:pPr>
      <w:r>
        <w:tab/>
        <w:t>(b)</w:t>
      </w:r>
      <w:r>
        <w:tab/>
        <w:t>in the case of a nominated member referred to in regulation 2(a) or (b), the chief executive officer who nominated the member advises the Minister in writing that the nomination is withdrawn; or</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w:t>
      </w:r>
    </w:p>
    <w:p>
      <w:pPr>
        <w:pStyle w:val="Indenta"/>
      </w:pPr>
      <w:r>
        <w:tab/>
        <w:t>(b)</w:t>
      </w:r>
      <w:r>
        <w:tab/>
        <w:t>has misbehaved;</w:t>
      </w:r>
    </w:p>
    <w:p>
      <w:pPr>
        <w:pStyle w:val="Indenta"/>
      </w:pPr>
      <w:r>
        <w:tab/>
        <w:t>(c)</w:t>
      </w:r>
      <w:r>
        <w:tab/>
        <w:t>is incompetent;</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Heading5"/>
      </w:pPr>
      <w:bookmarkStart w:id="18" w:name="_Toc193529496"/>
      <w:r>
        <w:rPr>
          <w:rStyle w:val="CharSectno"/>
        </w:rPr>
        <w:t>5</w:t>
      </w:r>
      <w:r>
        <w:t>.</w:t>
      </w:r>
      <w:r>
        <w:tab/>
        <w:t>Leave of absence</w:t>
      </w:r>
      <w:bookmarkEnd w:id="18"/>
    </w:p>
    <w:p>
      <w:pPr>
        <w:pStyle w:val="Subsection"/>
      </w:pPr>
      <w:r>
        <w:tab/>
      </w:r>
      <w:r>
        <w:tab/>
        <w:t>The SEMC may grant leave of absence to a member on any terms and conditions it thinks fit.</w:t>
      </w:r>
    </w:p>
    <w:p>
      <w:pPr>
        <w:pStyle w:val="Heading5"/>
      </w:pPr>
      <w:bookmarkStart w:id="19" w:name="_Toc193529497"/>
      <w:r>
        <w:rPr>
          <w:rStyle w:val="CharSectno"/>
        </w:rPr>
        <w:t>6</w:t>
      </w:r>
      <w:r>
        <w:t>.</w:t>
      </w:r>
      <w:r>
        <w:tab/>
        <w:t>Chairman unable to act</w:t>
      </w:r>
      <w:bookmarkEnd w:id="19"/>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20" w:name="_Toc193529498"/>
      <w:r>
        <w:rPr>
          <w:rStyle w:val="CharSectno"/>
        </w:rPr>
        <w:t>7</w:t>
      </w:r>
      <w:r>
        <w:t>.</w:t>
      </w:r>
      <w:r>
        <w:tab/>
        <w:t>Deputy members</w:t>
      </w:r>
      <w:bookmarkEnd w:id="20"/>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21" w:name="_Toc193529499"/>
      <w:r>
        <w:rPr>
          <w:rStyle w:val="CharSectno"/>
        </w:rPr>
        <w:t>8</w:t>
      </w:r>
      <w:r>
        <w:t>.</w:t>
      </w:r>
      <w:r>
        <w:tab/>
        <w:t>Saving</w:t>
      </w:r>
      <w:bookmarkEnd w:id="21"/>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22" w:name="_Toc193529500"/>
      <w:r>
        <w:rPr>
          <w:rStyle w:val="CharSectno"/>
        </w:rPr>
        <w:t>9</w:t>
      </w:r>
      <w:r>
        <w:t>.</w:t>
      </w:r>
      <w:r>
        <w:tab/>
        <w:t>Calling of meeting</w:t>
      </w:r>
      <w:bookmarkEnd w:id="22"/>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23" w:name="_Toc193529501"/>
      <w:r>
        <w:rPr>
          <w:rStyle w:val="CharSectno"/>
        </w:rPr>
        <w:t>10</w:t>
      </w:r>
      <w:r>
        <w:t>.</w:t>
      </w:r>
      <w:r>
        <w:tab/>
        <w:t>Quorum</w:t>
      </w:r>
      <w:bookmarkEnd w:id="23"/>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24" w:name="_Toc193529502"/>
      <w:r>
        <w:rPr>
          <w:rStyle w:val="CharSectno"/>
        </w:rPr>
        <w:t>11</w:t>
      </w:r>
      <w:r>
        <w:t>.</w:t>
      </w:r>
      <w:r>
        <w:tab/>
        <w:t>Minutes</w:t>
      </w:r>
      <w:bookmarkEnd w:id="24"/>
    </w:p>
    <w:p>
      <w:pPr>
        <w:pStyle w:val="Subsection"/>
      </w:pPr>
      <w:r>
        <w:tab/>
      </w:r>
      <w:r>
        <w:tab/>
        <w:t>The SEMC must cause accurate minutes to be kept of the proceedings at its meetings and of each resolution passed by the SEMC.</w:t>
      </w:r>
    </w:p>
    <w:p>
      <w:pPr>
        <w:pStyle w:val="Heading5"/>
      </w:pPr>
      <w:bookmarkStart w:id="25" w:name="_Toc193529503"/>
      <w:r>
        <w:rPr>
          <w:rStyle w:val="CharSectno"/>
        </w:rPr>
        <w:t>12</w:t>
      </w:r>
      <w:r>
        <w:t>.</w:t>
      </w:r>
      <w:r>
        <w:tab/>
        <w:t>Holding meetings remotely</w:t>
      </w:r>
      <w:bookmarkEnd w:id="25"/>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26" w:name="_Toc193529504"/>
      <w:r>
        <w:rPr>
          <w:rStyle w:val="CharSectno"/>
        </w:rPr>
        <w:t>13</w:t>
      </w:r>
      <w:r>
        <w:t>.</w:t>
      </w:r>
      <w:r>
        <w:tab/>
        <w:t>Resolution without meeting</w:t>
      </w:r>
      <w:bookmarkEnd w:id="26"/>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27" w:name="_Toc156291576"/>
      <w:bookmarkStart w:id="28" w:name="_Toc193529505"/>
      <w:r>
        <w:rPr>
          <w:rStyle w:val="CharPartNo"/>
        </w:rPr>
        <w:t>Part 3</w:t>
      </w:r>
      <w:r>
        <w:rPr>
          <w:b w:val="0"/>
        </w:rPr>
        <w:t> </w:t>
      </w:r>
      <w:r>
        <w:t>—</w:t>
      </w:r>
      <w:r>
        <w:rPr>
          <w:b w:val="0"/>
        </w:rPr>
        <w:t> </w:t>
      </w:r>
      <w:r>
        <w:rPr>
          <w:rStyle w:val="CharPartText"/>
        </w:rPr>
        <w:t>Hazard management</w:t>
      </w:r>
      <w:bookmarkEnd w:id="27"/>
      <w:bookmarkEnd w:id="28"/>
    </w:p>
    <w:p>
      <w:pPr>
        <w:pStyle w:val="Footnoteheading"/>
      </w:pPr>
      <w:r>
        <w:tab/>
        <w:t>[Heading inserted in Gazette 12 Jan 2007 p. 50.]</w:t>
      </w:r>
    </w:p>
    <w:p>
      <w:pPr>
        <w:pStyle w:val="Heading5"/>
      </w:pPr>
      <w:bookmarkStart w:id="29" w:name="_Toc193529506"/>
      <w:r>
        <w:rPr>
          <w:rStyle w:val="CharSectno"/>
        </w:rPr>
        <w:t>14</w:t>
      </w:r>
      <w:r>
        <w:t>.</w:t>
      </w:r>
      <w:r>
        <w:tab/>
        <w:t>Meaning of terms</w:t>
      </w:r>
      <w:bookmarkEnd w:id="29"/>
    </w:p>
    <w:p>
      <w:pPr>
        <w:pStyle w:val="Subsection"/>
      </w:pPr>
      <w:r>
        <w:tab/>
      </w:r>
      <w:r>
        <w:tab/>
        <w:t xml:space="preserve">In this Part — </w:t>
      </w:r>
    </w:p>
    <w:p>
      <w:pPr>
        <w:pStyle w:val="Defstart"/>
      </w:pPr>
      <w:r>
        <w:rPr>
          <w:b/>
        </w:rPr>
        <w:tab/>
        <w:t>“</w:t>
      </w:r>
      <w:r>
        <w:rPr>
          <w:rStyle w:val="CharDefText"/>
        </w:rPr>
        <w:t>preparedness</w:t>
      </w:r>
      <w:r>
        <w:rPr>
          <w:b/>
        </w:rPr>
        <w:t>”</w:t>
      </w:r>
      <w:r>
        <w:t xml:space="preserve"> has the meaning given in paragraph (b) of the definition of “emergency management” in section 3 of the Act;</w:t>
      </w:r>
    </w:p>
    <w:p>
      <w:pPr>
        <w:pStyle w:val="Defstart"/>
      </w:pPr>
      <w:r>
        <w:rPr>
          <w:b/>
        </w:rPr>
        <w:tab/>
        <w:t>“</w:t>
      </w:r>
      <w:r>
        <w:rPr>
          <w:rStyle w:val="CharDefText"/>
        </w:rPr>
        <w:t>response</w:t>
      </w:r>
      <w:r>
        <w:rPr>
          <w:b/>
        </w:rPr>
        <w:t>”</w:t>
      </w:r>
      <w:r>
        <w:t xml:space="preserve"> has the meaning given in paragraph (c) of the definition of “emergency management” in section 3 of the Act.</w:t>
      </w:r>
    </w:p>
    <w:p>
      <w:pPr>
        <w:pStyle w:val="Footnotesection"/>
      </w:pPr>
      <w:r>
        <w:tab/>
        <w:t>[Regulation 14 inserted in Gazette 12 Jan 2007 p. 50-1; amended in Gazette 18 Mar 2008 p. 867.]</w:t>
      </w:r>
    </w:p>
    <w:p>
      <w:pPr>
        <w:pStyle w:val="Heading5"/>
      </w:pPr>
      <w:bookmarkStart w:id="30" w:name="_Toc193529507"/>
      <w:r>
        <w:rPr>
          <w:rStyle w:val="CharSectno"/>
        </w:rPr>
        <w:t>15</w:t>
      </w:r>
      <w:r>
        <w:t>.</w:t>
      </w:r>
      <w:r>
        <w:tab/>
        <w:t>Events, situations and conditions prescribed as hazards</w:t>
      </w:r>
      <w:bookmarkEnd w:id="30"/>
    </w:p>
    <w:p>
      <w:pPr>
        <w:pStyle w:val="Subsection"/>
      </w:pPr>
      <w:r>
        <w:tab/>
      </w:r>
      <w:r>
        <w:tab/>
        <w:t xml:space="preserve">In addition to the events prescribed in paragraphs (a) to (e) of the definition of “hazard” 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on inland waterways within the limits of a port or in a fishing vessel or pleasure craft within the limits of a port or at sea;</w:t>
      </w:r>
    </w:p>
    <w:p>
      <w:pPr>
        <w:pStyle w:val="Indenta"/>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pPr>
      <w:r>
        <w:tab/>
        <w:t>(g)</w:t>
      </w:r>
      <w:r>
        <w:tab/>
        <w:t>human epidemic.</w:t>
      </w:r>
    </w:p>
    <w:p>
      <w:pPr>
        <w:pStyle w:val="Footnotesection"/>
      </w:pPr>
      <w:r>
        <w:tab/>
        <w:t>[Regulation 15 inserted in Gazette 12 Jan 2007 p. 51; amended in Gazette 18 Mar 2008 p. 867.]</w:t>
      </w:r>
    </w:p>
    <w:p>
      <w:pPr>
        <w:pStyle w:val="Heading5"/>
      </w:pPr>
      <w:bookmarkStart w:id="31" w:name="_Toc193529508"/>
      <w:r>
        <w:rPr>
          <w:rStyle w:val="CharSectno"/>
        </w:rPr>
        <w:t>16</w:t>
      </w:r>
      <w:r>
        <w:t>.</w:t>
      </w:r>
      <w:r>
        <w:tab/>
        <w:t>Hazard management agency — Commissioner of Police</w:t>
      </w:r>
      <w:bookmarkEnd w:id="31"/>
    </w:p>
    <w:p>
      <w:pPr>
        <w:pStyle w:val="Subsection"/>
      </w:pPr>
      <w:r>
        <w:tab/>
        <w:t>(1)</w:t>
      </w:r>
      <w:r>
        <w:tab/>
        <w:t xml:space="preserve">The Commissioner of Police is the hazard management agency for the emergency management aspects set out in subregulation (2)(a) of the following hazards —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Indenta"/>
      </w:pPr>
      <w:r>
        <w:tab/>
        <w:t>(d)</w:t>
      </w:r>
      <w:r>
        <w:tab/>
        <w:t>persons lost or in distress on inland waterways within the limits of a port or in a fishing vessel or pleasure craft within the limits of a port or at sea;</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Subsection"/>
      </w:pPr>
      <w:r>
        <w:tab/>
        <w:t>(2)</w:t>
      </w:r>
      <w:r>
        <w:tab/>
        <w:t xml:space="preserve">The Commissioner of Police is the hazard management agency for the hazards set out in subregulation (1) — </w:t>
      </w:r>
    </w:p>
    <w:p>
      <w:pPr>
        <w:pStyle w:val="Indenta"/>
      </w:pPr>
      <w:r>
        <w:tab/>
        <w:t>(a)</w:t>
      </w:r>
      <w:r>
        <w:tab/>
        <w:t>for the aspects of preparedness and response; and</w:t>
      </w:r>
    </w:p>
    <w:p>
      <w:pPr>
        <w:pStyle w:val="Indenta"/>
      </w:pPr>
      <w:r>
        <w:tab/>
        <w:t>(b)</w:t>
      </w:r>
      <w:r>
        <w:tab/>
        <w:t>for the whole of the State.</w:t>
      </w:r>
    </w:p>
    <w:p>
      <w:pPr>
        <w:pStyle w:val="Footnotesection"/>
      </w:pPr>
      <w:r>
        <w:tab/>
        <w:t>[Regulation 16 inserted in Gazette 12 Jan 2007 p. 51-2.]</w:t>
      </w:r>
    </w:p>
    <w:p>
      <w:pPr>
        <w:pStyle w:val="Heading5"/>
      </w:pPr>
      <w:bookmarkStart w:id="32" w:name="_Toc193529509"/>
      <w:r>
        <w:rPr>
          <w:rStyle w:val="CharSectno"/>
        </w:rPr>
        <w:t>17</w:t>
      </w:r>
      <w:r>
        <w:t>.</w:t>
      </w:r>
      <w:r>
        <w:tab/>
        <w:t>Hazard management agency — FESA</w:t>
      </w:r>
      <w:bookmarkEnd w:id="32"/>
    </w:p>
    <w:p>
      <w:pPr>
        <w:pStyle w:val="Subsection"/>
      </w:pPr>
      <w:r>
        <w:tab/>
        <w:t>(1)</w:t>
      </w:r>
      <w:r>
        <w:tab/>
        <w:t xml:space="preserve">In this regulation — </w:t>
      </w:r>
    </w:p>
    <w:p>
      <w:pPr>
        <w:pStyle w:val="Defstart"/>
      </w:pPr>
      <w:r>
        <w:rPr>
          <w:b/>
        </w:rPr>
        <w:tab/>
        <w:t>“</w:t>
      </w:r>
      <w:r>
        <w:rPr>
          <w:rStyle w:val="CharDefText"/>
        </w:rPr>
        <w:t>FESA</w:t>
      </w:r>
      <w:r>
        <w:rPr>
          <w:b/>
        </w:rPr>
        <w:t>”</w:t>
      </w:r>
      <w:r>
        <w:t xml:space="preserve"> means the Fire and Emergency Services Authority of Western Australia established by the </w:t>
      </w:r>
      <w:r>
        <w:rPr>
          <w:i/>
          <w:iCs/>
        </w:rPr>
        <w:t>Fire and Emergency Services Authority of Western Australia Act 1998</w:t>
      </w:r>
      <w:r>
        <w:t xml:space="preserve"> section 4.</w:t>
      </w:r>
    </w:p>
    <w:p>
      <w:pPr>
        <w:pStyle w:val="Subsection"/>
      </w:pPr>
      <w:r>
        <w:tab/>
        <w:t>(2)</w:t>
      </w:r>
      <w:r>
        <w:tab/>
        <w:t xml:space="preserve">FESA is the hazard management agency for the emergency management aspects set out in subregulation (3)(a) of the following hazards —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Subsection"/>
      </w:pPr>
      <w:r>
        <w:tab/>
        <w:t>(3)</w:t>
      </w:r>
      <w:r>
        <w:tab/>
        <w:t xml:space="preserve">FESA is the hazard management agency for the hazards set out in subregulation (2) — </w:t>
      </w:r>
    </w:p>
    <w:p>
      <w:pPr>
        <w:pStyle w:val="Indenta"/>
      </w:pPr>
      <w:r>
        <w:tab/>
        <w:t>(a)</w:t>
      </w:r>
      <w:r>
        <w:tab/>
        <w:t>for the aspects of preparedness and response; and</w:t>
      </w:r>
    </w:p>
    <w:p>
      <w:pPr>
        <w:pStyle w:val="Indenta"/>
      </w:pPr>
      <w:r>
        <w:tab/>
        <w:t>(b)</w:t>
      </w:r>
      <w:r>
        <w:tab/>
        <w:t>for the whole of the State.</w:t>
      </w:r>
    </w:p>
    <w:p>
      <w:pPr>
        <w:pStyle w:val="Footnotesection"/>
      </w:pPr>
      <w:r>
        <w:tab/>
        <w:t>[Regulation 17 inserted in Gazette 12 Jan 2007 p. 52.]</w:t>
      </w:r>
    </w:p>
    <w:p>
      <w:pPr>
        <w:pStyle w:val="Heading5"/>
      </w:pPr>
      <w:bookmarkStart w:id="33" w:name="_Toc193529510"/>
      <w:r>
        <w:rPr>
          <w:rStyle w:val="CharSectno"/>
        </w:rPr>
        <w:t>18</w:t>
      </w:r>
      <w:r>
        <w:t>.</w:t>
      </w:r>
      <w:r>
        <w:tab/>
        <w:t>Hazard management agency — State Health Coordinator</w:t>
      </w:r>
      <w:bookmarkEnd w:id="33"/>
    </w:p>
    <w:p>
      <w:pPr>
        <w:pStyle w:val="Subsection"/>
      </w:pPr>
      <w:r>
        <w:tab/>
      </w:r>
      <w:r>
        <w:tab/>
        <w:t xml:space="preserve">The State Health Coordinator, Department of Health, is the hazard management agency of the hazard of human epidemic — </w:t>
      </w:r>
    </w:p>
    <w:p>
      <w:pPr>
        <w:pStyle w:val="Indenta"/>
      </w:pPr>
      <w:r>
        <w:tab/>
        <w:t>(a)</w:t>
      </w:r>
      <w:r>
        <w:tab/>
        <w:t>for the emergency management aspects of preparedness and response; and</w:t>
      </w:r>
    </w:p>
    <w:p>
      <w:pPr>
        <w:pStyle w:val="Indenta"/>
      </w:pPr>
      <w:r>
        <w:tab/>
        <w:t>(b)</w:t>
      </w:r>
      <w:r>
        <w:tab/>
        <w:t>for the whole of the State.</w:t>
      </w:r>
    </w:p>
    <w:p>
      <w:pPr>
        <w:pStyle w:val="Footnotesection"/>
      </w:pPr>
      <w:r>
        <w:tab/>
        <w:t>[Regulation 18 inserted in Gazette 18 Mar 2008 p. 867.]</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4" w:name="_Toc113695922"/>
      <w:bookmarkStart w:id="35" w:name="_Toc133291507"/>
      <w:bookmarkStart w:id="36" w:name="_Toc133316008"/>
      <w:bookmarkStart w:id="37" w:name="_Toc156291581"/>
      <w:bookmarkStart w:id="38" w:name="_Toc193529511"/>
      <w:r>
        <w:t>Notes</w:t>
      </w:r>
      <w:bookmarkEnd w:id="34"/>
      <w:bookmarkEnd w:id="35"/>
      <w:bookmarkEnd w:id="36"/>
      <w:bookmarkEnd w:id="37"/>
      <w:bookmarkEnd w:id="38"/>
    </w:p>
    <w:p>
      <w:pPr>
        <w:pStyle w:val="nSubsection"/>
        <w:rPr>
          <w:snapToGrid w:val="0"/>
        </w:rPr>
      </w:pPr>
      <w:bookmarkStart w:id="39" w:name="_Toc70311430"/>
      <w:bookmarkStart w:id="40" w:name="_Toc113695923"/>
      <w:r>
        <w:rPr>
          <w:snapToGrid w:val="0"/>
          <w:vertAlign w:val="superscript"/>
        </w:rPr>
        <w:t>1</w:t>
      </w:r>
      <w:r>
        <w:rPr>
          <w:snapToGrid w:val="0"/>
        </w:rPr>
        <w:tab/>
        <w:t xml:space="preserve">This is a compilation of the </w:t>
      </w:r>
      <w:r>
        <w:rPr>
          <w:i/>
          <w:noProof/>
          <w:snapToGrid w:val="0"/>
        </w:rPr>
        <w:t>Emergency Management Regulations 2006</w:t>
      </w:r>
      <w:r>
        <w:rPr>
          <w:snapToGrid w:val="0"/>
        </w:rPr>
        <w:t xml:space="preserve"> and includes the amendments made by the other written laws referred to in the following table.</w:t>
      </w:r>
    </w:p>
    <w:p>
      <w:pPr>
        <w:pStyle w:val="nHeading3"/>
      </w:pPr>
      <w:bookmarkStart w:id="41" w:name="_Toc193529512"/>
      <w:r>
        <w:t>Compilation table</w:t>
      </w:r>
      <w:bookmarkEnd w:id="39"/>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rPr>
              <w:t>Emergency Management Regulations 2006</w:t>
            </w:r>
          </w:p>
        </w:tc>
        <w:tc>
          <w:tcPr>
            <w:tcW w:w="1276" w:type="dxa"/>
            <w:tcBorders>
              <w:top w:val="single" w:sz="8" w:space="0" w:color="auto"/>
            </w:tcBorders>
          </w:tcPr>
          <w:p>
            <w:pPr>
              <w:pStyle w:val="nTable"/>
              <w:rPr>
                <w:sz w:val="19"/>
              </w:rPr>
            </w:pPr>
            <w:r>
              <w:rPr>
                <w:sz w:val="19"/>
              </w:rPr>
              <w:t>21 Apr 2006 p. 1582</w:t>
            </w:r>
            <w:r>
              <w:rPr>
                <w:sz w:val="19"/>
              </w:rPr>
              <w:noBreakHyphen/>
              <w:t>4</w:t>
            </w:r>
          </w:p>
        </w:tc>
        <w:tc>
          <w:tcPr>
            <w:tcW w:w="2693" w:type="dxa"/>
            <w:tcBorders>
              <w:top w:val="single" w:sz="8" w:space="0" w:color="auto"/>
            </w:tcBorders>
          </w:tcPr>
          <w:p>
            <w:pPr>
              <w:pStyle w:val="nTable"/>
              <w:rPr>
                <w:sz w:val="19"/>
              </w:rPr>
            </w:pPr>
            <w:r>
              <w:rPr>
                <w:sz w:val="19"/>
              </w:rPr>
              <w:t>21 Apr 2006</w:t>
            </w:r>
          </w:p>
        </w:tc>
      </w:tr>
      <w:tr>
        <w:tc>
          <w:tcPr>
            <w:tcW w:w="3118" w:type="dxa"/>
          </w:tcPr>
          <w:p>
            <w:pPr>
              <w:pStyle w:val="nTable"/>
              <w:rPr>
                <w:i/>
                <w:noProof/>
                <w:snapToGrid w:val="0"/>
              </w:rPr>
            </w:pPr>
            <w:r>
              <w:rPr>
                <w:i/>
                <w:noProof/>
                <w:snapToGrid w:val="0"/>
              </w:rPr>
              <w:t>Emergency Management Amendment Regulations 2006</w:t>
            </w:r>
          </w:p>
        </w:tc>
        <w:tc>
          <w:tcPr>
            <w:tcW w:w="1276" w:type="dxa"/>
          </w:tcPr>
          <w:p>
            <w:pPr>
              <w:pStyle w:val="nTable"/>
              <w:rPr>
                <w:sz w:val="19"/>
              </w:rPr>
            </w:pPr>
            <w:r>
              <w:rPr>
                <w:sz w:val="19"/>
              </w:rPr>
              <w:t>12 Jan 2007 p. 50-2</w:t>
            </w:r>
          </w:p>
        </w:tc>
        <w:tc>
          <w:tcPr>
            <w:tcW w:w="2693" w:type="dxa"/>
          </w:tcPr>
          <w:p>
            <w:pPr>
              <w:pStyle w:val="nTable"/>
              <w:rPr>
                <w:sz w:val="19"/>
              </w:rPr>
            </w:pPr>
            <w:r>
              <w:rPr>
                <w:sz w:val="19"/>
              </w:rPr>
              <w:t>12 Jan 2007</w:t>
            </w:r>
          </w:p>
        </w:tc>
      </w:tr>
      <w:tr>
        <w:tc>
          <w:tcPr>
            <w:tcW w:w="3118" w:type="dxa"/>
            <w:tcBorders>
              <w:bottom w:val="single" w:sz="4" w:space="0" w:color="auto"/>
            </w:tcBorders>
          </w:tcPr>
          <w:p>
            <w:pPr>
              <w:pStyle w:val="nTable"/>
              <w:rPr>
                <w:i/>
                <w:noProof/>
                <w:snapToGrid w:val="0"/>
              </w:rPr>
            </w:pPr>
            <w:r>
              <w:rPr>
                <w:i/>
                <w:noProof/>
                <w:snapToGrid w:val="0"/>
              </w:rPr>
              <w:t>Emergency Management Amendment Regulations 2008`</w:t>
            </w:r>
          </w:p>
        </w:tc>
        <w:tc>
          <w:tcPr>
            <w:tcW w:w="1276" w:type="dxa"/>
            <w:tcBorders>
              <w:bottom w:val="single" w:sz="4" w:space="0" w:color="auto"/>
            </w:tcBorders>
          </w:tcPr>
          <w:p>
            <w:pPr>
              <w:pStyle w:val="nTable"/>
              <w:rPr>
                <w:sz w:val="19"/>
              </w:rPr>
            </w:pPr>
            <w:r>
              <w:rPr>
                <w:sz w:val="19"/>
              </w:rPr>
              <w:t>18 Mar 2008 p. 866-7</w:t>
            </w:r>
          </w:p>
        </w:tc>
        <w:tc>
          <w:tcPr>
            <w:tcW w:w="2693" w:type="dxa"/>
            <w:tcBorders>
              <w:bottom w:val="single" w:sz="4" w:space="0" w:color="auto"/>
            </w:tcBorders>
          </w:tcPr>
          <w:p>
            <w:pPr>
              <w:pStyle w:val="nTable"/>
              <w:rPr>
                <w:sz w:val="19"/>
              </w:rPr>
            </w:pPr>
            <w:r>
              <w:rPr>
                <w:sz w:val="19"/>
              </w:rPr>
              <w:t>r. 1 and 2: 18 Mar 2008 (see r. 2(a));</w:t>
            </w:r>
          </w:p>
          <w:p>
            <w:pPr>
              <w:pStyle w:val="nTable"/>
              <w:spacing w:before="0"/>
              <w:rPr>
                <w:sz w:val="19"/>
              </w:rPr>
            </w:pPr>
            <w:r>
              <w:rPr>
                <w:sz w:val="19"/>
              </w:rPr>
              <w:t>Regulations other than r. 1 and 2: 19 Mar 2008 (see r. 2(b))</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Emergency Management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60A2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20C3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EFCA8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B414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CE25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4422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50005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ACAA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446F774"/>
    <w:lvl w:ilvl="0">
      <w:start w:val="1"/>
      <w:numFmt w:val="decimal"/>
      <w:pStyle w:val="ListNumber"/>
      <w:lvlText w:val="%1."/>
      <w:lvlJc w:val="left"/>
      <w:pPr>
        <w:tabs>
          <w:tab w:val="num" w:pos="360"/>
        </w:tabs>
        <w:ind w:left="360" w:hanging="360"/>
      </w:pPr>
    </w:lvl>
  </w:abstractNum>
  <w:abstractNum w:abstractNumId="9">
    <w:nsid w:val="FFFFFF89"/>
    <w:multiLevelType w:val="singleLevel"/>
    <w:tmpl w:val="5F1AF8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6A47A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4A6B1F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756"/>
    <w:docVar w:name="WAFER_20151207122756" w:val="RemoveTrackChanges"/>
    <w:docVar w:name="WAFER_20151207122756_GUID" w:val="d36833a9-effc-464d-bc73-de83930f53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1886</Words>
  <Characters>9094</Characters>
  <Application>Microsoft Office Word</Application>
  <DocSecurity>0</DocSecurity>
  <Lines>293</Lines>
  <Paragraphs>199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The State Emergency Management Committee</vt:lpstr>
      <vt:lpstr>    Part 3 — Hazard management</vt:lpstr>
      <vt:lpstr>    Notes</vt:lpstr>
    </vt:vector>
  </TitlesOfParts>
  <Manager/>
  <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2006 - 00-c0-02</dc:title>
  <dc:subject/>
  <dc:creator/>
  <cp:keywords/>
  <dc:description/>
  <cp:lastModifiedBy>svcMRProcess</cp:lastModifiedBy>
  <cp:revision>4</cp:revision>
  <cp:lastPrinted>2008-03-17T04:43:00Z</cp:lastPrinted>
  <dcterms:created xsi:type="dcterms:W3CDTF">2015-12-08T20:46:00Z</dcterms:created>
  <dcterms:modified xsi:type="dcterms:W3CDTF">2015-12-08T20:46:00Z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20080319</vt:lpwstr>
  </property>
  <property fmtid="{D5CDD505-2E9C-101B-9397-08002B2CF9AE}" pid="4" name="DocumentType">
    <vt:lpwstr>Reg</vt:lpwstr>
  </property>
  <property fmtid="{D5CDD505-2E9C-101B-9397-08002B2CF9AE}" pid="5" name="OwlsUID">
    <vt:i4>38333</vt:i4>
  </property>
  <property fmtid="{D5CDD505-2E9C-101B-9397-08002B2CF9AE}" pid="6" name="AsAtDate">
    <vt:lpwstr>19 Mar 2008</vt:lpwstr>
  </property>
  <property fmtid="{D5CDD505-2E9C-101B-9397-08002B2CF9AE}" pid="7" name="Suffix">
    <vt:lpwstr>00-c0-02</vt:lpwstr>
  </property>
</Properties>
</file>