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Alcohol and Drug Authority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Alcohol and Drug Authority Act 1974</w:t>
      </w:r>
      <w:r>
        <w:fldChar w:fldCharType="end"/>
      </w:r>
    </w:p>
    <w:p>
      <w:pPr>
        <w:pStyle w:val="Arrangement"/>
      </w:pPr>
      <w:r>
        <w:t>CONTENTS</w:t>
      </w:r>
    </w:p>
    <w:p>
      <w:pPr>
        <w:pStyle w:val="TOC2"/>
        <w:tabs>
          <w:tab w:val="right" w:leader="dot" w:pos="7086"/>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Preliminary</w:t>
      </w:r>
    </w:p>
    <w:p>
      <w:pPr>
        <w:pStyle w:val="TOC4"/>
        <w:tabs>
          <w:tab w:val="left" w:pos="1701"/>
        </w:tabs>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_Toc518096088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_Toc518096089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4</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_Toc518096090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II — Alcohol and Drug Authority</w:t>
      </w:r>
    </w:p>
    <w:p>
      <w:pPr>
        <w:pStyle w:val="TOC3"/>
        <w:rPr>
          <w:noProof/>
        </w:rPr>
      </w:pPr>
      <w:r>
        <w:rPr>
          <w:noProof/>
        </w:rPr>
        <w:t>Division 1</w:t>
      </w:r>
      <w:r>
        <w:rPr>
          <w:noProof/>
          <w:snapToGrid w:val="0"/>
        </w:rPr>
        <w:t> — </w:t>
      </w:r>
      <w:r>
        <w:rPr>
          <w:noProof/>
        </w:rPr>
        <w:t>Establishment and terms of office</w:t>
      </w:r>
    </w:p>
    <w:p>
      <w:pPr>
        <w:pStyle w:val="TOC4"/>
        <w:tabs>
          <w:tab w:val="left" w:pos="1701"/>
        </w:tabs>
        <w:rPr>
          <w:noProof/>
        </w:rPr>
      </w:pPr>
      <w:r>
        <w:rPr>
          <w:noProof/>
        </w:rPr>
        <w:t>5</w:t>
      </w:r>
      <w:r>
        <w:rPr>
          <w:noProof/>
          <w:snapToGrid w:val="0"/>
        </w:rPr>
        <w:t>.</w:t>
      </w:r>
      <w:r>
        <w:rPr>
          <w:noProof/>
        </w:rPr>
        <w:tab/>
      </w:r>
      <w:r>
        <w:rPr>
          <w:noProof/>
          <w:snapToGrid w:val="0"/>
        </w:rPr>
        <w:t>Establishment and incorporation</w:t>
      </w:r>
      <w:r>
        <w:rPr>
          <w:noProof/>
        </w:rPr>
        <w:tab/>
      </w:r>
      <w:r>
        <w:rPr>
          <w:noProof/>
        </w:rPr>
        <w:fldChar w:fldCharType="begin"/>
      </w:r>
      <w:r>
        <w:rPr>
          <w:noProof/>
        </w:rPr>
        <w:instrText xml:space="preserve"> PAGEREF _Toc518096091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6</w:t>
      </w:r>
      <w:r>
        <w:rPr>
          <w:noProof/>
          <w:snapToGrid w:val="0"/>
        </w:rPr>
        <w:t>.</w:t>
      </w:r>
      <w:r>
        <w:rPr>
          <w:noProof/>
        </w:rPr>
        <w:tab/>
      </w:r>
      <w:r>
        <w:rPr>
          <w:noProof/>
          <w:snapToGrid w:val="0"/>
        </w:rPr>
        <w:t>Term of office</w:t>
      </w:r>
      <w:r>
        <w:rPr>
          <w:noProof/>
        </w:rPr>
        <w:tab/>
      </w:r>
      <w:r>
        <w:rPr>
          <w:noProof/>
        </w:rPr>
        <w:fldChar w:fldCharType="begin"/>
      </w:r>
      <w:r>
        <w:rPr>
          <w:noProof/>
        </w:rPr>
        <w:instrText xml:space="preserve"> PAGEREF _Toc518096092 \h </w:instrText>
      </w:r>
      <w:r>
        <w:rPr>
          <w:noProof/>
        </w:rPr>
      </w:r>
      <w:r>
        <w:rPr>
          <w:noProof/>
        </w:rPr>
        <w:fldChar w:fldCharType="separate"/>
      </w:r>
      <w:r>
        <w:rPr>
          <w:noProof/>
        </w:rPr>
        <w:t>4</w:t>
      </w:r>
      <w:r>
        <w:rPr>
          <w:noProof/>
        </w:rPr>
        <w:fldChar w:fldCharType="end"/>
      </w:r>
    </w:p>
    <w:p>
      <w:pPr>
        <w:pStyle w:val="TOC4"/>
        <w:tabs>
          <w:tab w:val="left" w:pos="1701"/>
        </w:tabs>
        <w:rPr>
          <w:noProof/>
        </w:rPr>
      </w:pPr>
      <w:r>
        <w:rPr>
          <w:noProof/>
        </w:rPr>
        <w:t>7</w:t>
      </w:r>
      <w:r>
        <w:rPr>
          <w:noProof/>
          <w:snapToGrid w:val="0"/>
        </w:rPr>
        <w:t>.</w:t>
      </w:r>
      <w:r>
        <w:rPr>
          <w:noProof/>
        </w:rPr>
        <w:tab/>
      </w:r>
      <w:r>
        <w:rPr>
          <w:noProof/>
          <w:snapToGrid w:val="0"/>
        </w:rPr>
        <w:t>Re</w:t>
      </w:r>
      <w:r>
        <w:rPr>
          <w:noProof/>
          <w:snapToGrid w:val="0"/>
        </w:rPr>
        <w:noBreakHyphen/>
        <w:t>appointment</w:t>
      </w:r>
      <w:r>
        <w:rPr>
          <w:noProof/>
        </w:rPr>
        <w:tab/>
      </w:r>
      <w:r>
        <w:rPr>
          <w:noProof/>
        </w:rPr>
        <w:fldChar w:fldCharType="begin"/>
      </w:r>
      <w:r>
        <w:rPr>
          <w:noProof/>
        </w:rPr>
        <w:instrText xml:space="preserve"> PAGEREF _Toc518096093 \h </w:instrText>
      </w:r>
      <w:r>
        <w:rPr>
          <w:noProof/>
        </w:rPr>
      </w:r>
      <w:r>
        <w:rPr>
          <w:noProof/>
        </w:rPr>
        <w:fldChar w:fldCharType="separate"/>
      </w:r>
      <w:r>
        <w:rPr>
          <w:noProof/>
        </w:rPr>
        <w:t>4</w:t>
      </w:r>
      <w:r>
        <w:rPr>
          <w:noProof/>
        </w:rPr>
        <w:fldChar w:fldCharType="end"/>
      </w:r>
    </w:p>
    <w:p>
      <w:pPr>
        <w:pStyle w:val="TOC4"/>
        <w:tabs>
          <w:tab w:val="left" w:pos="1701"/>
        </w:tabs>
        <w:rPr>
          <w:noProof/>
        </w:rPr>
      </w:pPr>
      <w:r>
        <w:rPr>
          <w:noProof/>
        </w:rPr>
        <w:t>8</w:t>
      </w:r>
      <w:r>
        <w:rPr>
          <w:noProof/>
          <w:snapToGrid w:val="0"/>
        </w:rPr>
        <w:t>.</w:t>
      </w:r>
      <w:r>
        <w:rPr>
          <w:noProof/>
        </w:rPr>
        <w:tab/>
      </w:r>
      <w:r>
        <w:rPr>
          <w:noProof/>
          <w:snapToGrid w:val="0"/>
        </w:rPr>
        <w:t>Leave of absence</w:t>
      </w:r>
      <w:r>
        <w:rPr>
          <w:noProof/>
        </w:rPr>
        <w:tab/>
      </w:r>
      <w:r>
        <w:rPr>
          <w:noProof/>
        </w:rPr>
        <w:fldChar w:fldCharType="begin"/>
      </w:r>
      <w:r>
        <w:rPr>
          <w:noProof/>
        </w:rPr>
        <w:instrText xml:space="preserve"> PAGEREF _Toc518096094 \h </w:instrText>
      </w:r>
      <w:r>
        <w:rPr>
          <w:noProof/>
        </w:rPr>
      </w:r>
      <w:r>
        <w:rPr>
          <w:noProof/>
        </w:rPr>
        <w:fldChar w:fldCharType="separate"/>
      </w:r>
      <w:r>
        <w:rPr>
          <w:noProof/>
        </w:rPr>
        <w:t>4</w:t>
      </w:r>
      <w:r>
        <w:rPr>
          <w:noProof/>
        </w:rPr>
        <w:fldChar w:fldCharType="end"/>
      </w:r>
    </w:p>
    <w:p>
      <w:pPr>
        <w:pStyle w:val="TOC4"/>
        <w:tabs>
          <w:tab w:val="left" w:pos="1701"/>
        </w:tabs>
        <w:rPr>
          <w:noProof/>
        </w:rPr>
      </w:pPr>
      <w:r>
        <w:rPr>
          <w:noProof/>
        </w:rPr>
        <w:t>9</w:t>
      </w:r>
      <w:r>
        <w:rPr>
          <w:noProof/>
          <w:snapToGrid w:val="0"/>
        </w:rPr>
        <w:t>.</w:t>
      </w:r>
      <w:r>
        <w:rPr>
          <w:noProof/>
        </w:rPr>
        <w:tab/>
      </w:r>
      <w:r>
        <w:rPr>
          <w:noProof/>
          <w:snapToGrid w:val="0"/>
        </w:rPr>
        <w:t>Dismissal of members</w:t>
      </w:r>
      <w:r>
        <w:rPr>
          <w:noProof/>
        </w:rPr>
        <w:tab/>
      </w:r>
      <w:r>
        <w:rPr>
          <w:noProof/>
        </w:rPr>
        <w:fldChar w:fldCharType="begin"/>
      </w:r>
      <w:r>
        <w:rPr>
          <w:noProof/>
        </w:rPr>
        <w:instrText xml:space="preserve"> PAGEREF _Toc518096095 \h </w:instrText>
      </w:r>
      <w:r>
        <w:rPr>
          <w:noProof/>
        </w:rPr>
      </w:r>
      <w:r>
        <w:rPr>
          <w:noProof/>
        </w:rPr>
        <w:fldChar w:fldCharType="separate"/>
      </w:r>
      <w:r>
        <w:rPr>
          <w:noProof/>
        </w:rPr>
        <w:t>4</w:t>
      </w:r>
      <w:r>
        <w:rPr>
          <w:noProof/>
        </w:rPr>
        <w:fldChar w:fldCharType="end"/>
      </w:r>
    </w:p>
    <w:p>
      <w:pPr>
        <w:pStyle w:val="TOC4"/>
        <w:tabs>
          <w:tab w:val="left" w:pos="1701"/>
        </w:tabs>
        <w:rPr>
          <w:noProof/>
        </w:rPr>
      </w:pPr>
      <w:r>
        <w:rPr>
          <w:noProof/>
        </w:rPr>
        <w:t>10</w:t>
      </w:r>
      <w:r>
        <w:rPr>
          <w:noProof/>
          <w:snapToGrid w:val="0"/>
        </w:rPr>
        <w:t>.</w:t>
      </w:r>
      <w:r>
        <w:rPr>
          <w:noProof/>
        </w:rPr>
        <w:tab/>
      </w:r>
      <w:r>
        <w:rPr>
          <w:noProof/>
          <w:snapToGrid w:val="0"/>
        </w:rPr>
        <w:t>Vacation of office</w:t>
      </w:r>
      <w:r>
        <w:rPr>
          <w:noProof/>
        </w:rPr>
        <w:tab/>
      </w:r>
      <w:r>
        <w:rPr>
          <w:noProof/>
        </w:rPr>
        <w:fldChar w:fldCharType="begin"/>
      </w:r>
      <w:r>
        <w:rPr>
          <w:noProof/>
        </w:rPr>
        <w:instrText xml:space="preserve"> PAGEREF _Toc518096096 \h </w:instrText>
      </w:r>
      <w:r>
        <w:rPr>
          <w:noProof/>
        </w:rPr>
      </w:r>
      <w:r>
        <w:rPr>
          <w:noProof/>
        </w:rPr>
        <w:fldChar w:fldCharType="separate"/>
      </w:r>
      <w:r>
        <w:rPr>
          <w:noProof/>
        </w:rPr>
        <w:t>4</w:t>
      </w:r>
      <w:r>
        <w:rPr>
          <w:noProof/>
        </w:rPr>
        <w:fldChar w:fldCharType="end"/>
      </w:r>
    </w:p>
    <w:p>
      <w:pPr>
        <w:pStyle w:val="TOC4"/>
        <w:tabs>
          <w:tab w:val="left" w:pos="1701"/>
        </w:tabs>
        <w:rPr>
          <w:noProof/>
        </w:rPr>
      </w:pPr>
      <w:r>
        <w:rPr>
          <w:noProof/>
        </w:rPr>
        <w:t>11</w:t>
      </w:r>
      <w:r>
        <w:rPr>
          <w:noProof/>
          <w:snapToGrid w:val="0"/>
        </w:rPr>
        <w:t>.</w:t>
      </w:r>
      <w:r>
        <w:rPr>
          <w:noProof/>
        </w:rPr>
        <w:tab/>
      </w:r>
      <w:r>
        <w:rPr>
          <w:noProof/>
          <w:snapToGrid w:val="0"/>
        </w:rPr>
        <w:t>Casual vacancy</w:t>
      </w:r>
      <w:r>
        <w:rPr>
          <w:noProof/>
        </w:rPr>
        <w:tab/>
      </w:r>
      <w:r>
        <w:rPr>
          <w:noProof/>
        </w:rPr>
        <w:fldChar w:fldCharType="begin"/>
      </w:r>
      <w:r>
        <w:rPr>
          <w:noProof/>
        </w:rPr>
        <w:instrText xml:space="preserve"> PAGEREF _Toc518096097 \h </w:instrText>
      </w:r>
      <w:r>
        <w:rPr>
          <w:noProof/>
        </w:rPr>
      </w:r>
      <w:r>
        <w:rPr>
          <w:noProof/>
        </w:rPr>
        <w:fldChar w:fldCharType="separate"/>
      </w:r>
      <w:r>
        <w:rPr>
          <w:noProof/>
        </w:rPr>
        <w:t>5</w:t>
      </w:r>
      <w:r>
        <w:rPr>
          <w:noProof/>
        </w:rPr>
        <w:fldChar w:fldCharType="end"/>
      </w:r>
    </w:p>
    <w:p>
      <w:pPr>
        <w:pStyle w:val="TOC4"/>
        <w:tabs>
          <w:tab w:val="left" w:pos="1701"/>
        </w:tabs>
        <w:rPr>
          <w:noProof/>
        </w:rPr>
      </w:pPr>
      <w:r>
        <w:rPr>
          <w:noProof/>
        </w:rPr>
        <w:t>12</w:t>
      </w:r>
      <w:r>
        <w:rPr>
          <w:noProof/>
          <w:snapToGrid w:val="0"/>
        </w:rPr>
        <w:t>.</w:t>
      </w:r>
      <w:r>
        <w:rPr>
          <w:noProof/>
        </w:rPr>
        <w:tab/>
      </w:r>
      <w:r>
        <w:rPr>
          <w:noProof/>
          <w:snapToGrid w:val="0"/>
        </w:rPr>
        <w:t>Acting members</w:t>
      </w:r>
      <w:r>
        <w:rPr>
          <w:noProof/>
        </w:rPr>
        <w:tab/>
      </w:r>
      <w:r>
        <w:rPr>
          <w:noProof/>
        </w:rPr>
        <w:fldChar w:fldCharType="begin"/>
      </w:r>
      <w:r>
        <w:rPr>
          <w:noProof/>
        </w:rPr>
        <w:instrText xml:space="preserve"> PAGEREF _Toc518096098 \h </w:instrText>
      </w:r>
      <w:r>
        <w:rPr>
          <w:noProof/>
        </w:rPr>
      </w:r>
      <w:r>
        <w:rPr>
          <w:noProof/>
        </w:rPr>
        <w:fldChar w:fldCharType="separate"/>
      </w:r>
      <w:r>
        <w:rPr>
          <w:noProof/>
        </w:rPr>
        <w:t>5</w:t>
      </w:r>
      <w:r>
        <w:rPr>
          <w:noProof/>
        </w:rPr>
        <w:fldChar w:fldCharType="end"/>
      </w:r>
    </w:p>
    <w:p>
      <w:pPr>
        <w:pStyle w:val="TOC4"/>
        <w:tabs>
          <w:tab w:val="left" w:pos="1701"/>
        </w:tabs>
        <w:rPr>
          <w:noProof/>
        </w:rPr>
      </w:pPr>
      <w:r>
        <w:rPr>
          <w:noProof/>
        </w:rPr>
        <w:t>13</w:t>
      </w:r>
      <w:r>
        <w:rPr>
          <w:noProof/>
          <w:snapToGrid w:val="0"/>
        </w:rPr>
        <w:t>.</w:t>
      </w:r>
      <w:r>
        <w:rPr>
          <w:noProof/>
        </w:rPr>
        <w:tab/>
      </w:r>
      <w:r>
        <w:rPr>
          <w:noProof/>
          <w:snapToGrid w:val="0"/>
        </w:rPr>
        <w:t>Meetings of the Authority</w:t>
      </w:r>
      <w:r>
        <w:rPr>
          <w:noProof/>
        </w:rPr>
        <w:tab/>
      </w:r>
      <w:r>
        <w:rPr>
          <w:noProof/>
        </w:rPr>
        <w:fldChar w:fldCharType="begin"/>
      </w:r>
      <w:r>
        <w:rPr>
          <w:noProof/>
        </w:rPr>
        <w:instrText xml:space="preserve"> PAGEREF _Toc518096099 \h </w:instrText>
      </w:r>
      <w:r>
        <w:rPr>
          <w:noProof/>
        </w:rPr>
      </w:r>
      <w:r>
        <w:rPr>
          <w:noProof/>
        </w:rPr>
        <w:fldChar w:fldCharType="separate"/>
      </w:r>
      <w:r>
        <w:rPr>
          <w:noProof/>
        </w:rPr>
        <w:t>5</w:t>
      </w:r>
      <w:r>
        <w:rPr>
          <w:noProof/>
        </w:rPr>
        <w:fldChar w:fldCharType="end"/>
      </w:r>
    </w:p>
    <w:p>
      <w:pPr>
        <w:pStyle w:val="TOC4"/>
        <w:tabs>
          <w:tab w:val="left" w:pos="1701"/>
        </w:tabs>
        <w:rPr>
          <w:noProof/>
        </w:rPr>
      </w:pPr>
      <w:r>
        <w:rPr>
          <w:noProof/>
        </w:rPr>
        <w:t>14</w:t>
      </w:r>
      <w:r>
        <w:rPr>
          <w:noProof/>
          <w:snapToGrid w:val="0"/>
        </w:rPr>
        <w:t>.</w:t>
      </w:r>
      <w:r>
        <w:rPr>
          <w:noProof/>
        </w:rPr>
        <w:tab/>
      </w:r>
      <w:r>
        <w:rPr>
          <w:noProof/>
          <w:snapToGrid w:val="0"/>
        </w:rPr>
        <w:t>Validity of acts of Authority</w:t>
      </w:r>
      <w:r>
        <w:rPr>
          <w:noProof/>
        </w:rPr>
        <w:tab/>
      </w:r>
      <w:r>
        <w:rPr>
          <w:noProof/>
        </w:rPr>
        <w:fldChar w:fldCharType="begin"/>
      </w:r>
      <w:r>
        <w:rPr>
          <w:noProof/>
        </w:rPr>
        <w:instrText xml:space="preserve"> PAGEREF _Toc518096100 \h </w:instrText>
      </w:r>
      <w:r>
        <w:rPr>
          <w:noProof/>
        </w:rPr>
      </w:r>
      <w:r>
        <w:rPr>
          <w:noProof/>
        </w:rPr>
        <w:fldChar w:fldCharType="separate"/>
      </w:r>
      <w:r>
        <w:rPr>
          <w:noProof/>
        </w:rPr>
        <w:t>6</w:t>
      </w:r>
      <w:r>
        <w:rPr>
          <w:noProof/>
        </w:rPr>
        <w:fldChar w:fldCharType="end"/>
      </w:r>
    </w:p>
    <w:p>
      <w:pPr>
        <w:pStyle w:val="TOC4"/>
        <w:tabs>
          <w:tab w:val="left" w:pos="1701"/>
        </w:tabs>
        <w:rPr>
          <w:noProof/>
        </w:rPr>
      </w:pPr>
      <w:r>
        <w:rPr>
          <w:noProof/>
        </w:rPr>
        <w:t>15</w:t>
      </w:r>
      <w:r>
        <w:rPr>
          <w:noProof/>
          <w:snapToGrid w:val="0"/>
        </w:rPr>
        <w:t>.</w:t>
      </w:r>
      <w:r>
        <w:rPr>
          <w:noProof/>
        </w:rPr>
        <w:tab/>
      </w:r>
      <w:r>
        <w:rPr>
          <w:noProof/>
          <w:snapToGrid w:val="0"/>
        </w:rPr>
        <w:t>Remuneration of members</w:t>
      </w:r>
      <w:r>
        <w:rPr>
          <w:noProof/>
        </w:rPr>
        <w:tab/>
      </w:r>
      <w:r>
        <w:rPr>
          <w:noProof/>
        </w:rPr>
        <w:fldChar w:fldCharType="begin"/>
      </w:r>
      <w:r>
        <w:rPr>
          <w:noProof/>
        </w:rPr>
        <w:instrText xml:space="preserve"> PAGEREF _Toc518096101 \h </w:instrText>
      </w:r>
      <w:r>
        <w:rPr>
          <w:noProof/>
        </w:rPr>
      </w:r>
      <w:r>
        <w:rPr>
          <w:noProof/>
        </w:rPr>
        <w:fldChar w:fldCharType="separate"/>
      </w:r>
      <w:r>
        <w:rPr>
          <w:noProof/>
        </w:rPr>
        <w:t>6</w:t>
      </w:r>
      <w:r>
        <w:rPr>
          <w:noProof/>
        </w:rPr>
        <w:fldChar w:fldCharType="end"/>
      </w:r>
    </w:p>
    <w:p>
      <w:pPr>
        <w:pStyle w:val="TOC3"/>
        <w:rPr>
          <w:noProof/>
        </w:rPr>
      </w:pPr>
      <w:r>
        <w:rPr>
          <w:noProof/>
        </w:rPr>
        <w:t>Division 2</w:t>
      </w:r>
      <w:r>
        <w:rPr>
          <w:noProof/>
          <w:snapToGrid w:val="0"/>
        </w:rPr>
        <w:t> — </w:t>
      </w:r>
      <w:r>
        <w:rPr>
          <w:noProof/>
        </w:rPr>
        <w:t>General functions, powers, and duties</w:t>
      </w:r>
    </w:p>
    <w:p>
      <w:pPr>
        <w:pStyle w:val="TOC4"/>
        <w:tabs>
          <w:tab w:val="left" w:pos="1701"/>
        </w:tabs>
        <w:rPr>
          <w:noProof/>
        </w:rPr>
      </w:pPr>
      <w:r>
        <w:rPr>
          <w:noProof/>
        </w:rPr>
        <w:t>17</w:t>
      </w:r>
      <w:r>
        <w:rPr>
          <w:noProof/>
          <w:snapToGrid w:val="0"/>
        </w:rPr>
        <w:t>.</w:t>
      </w:r>
      <w:r>
        <w:rPr>
          <w:noProof/>
        </w:rPr>
        <w:tab/>
      </w:r>
      <w:r>
        <w:rPr>
          <w:noProof/>
          <w:snapToGrid w:val="0"/>
        </w:rPr>
        <w:t>Administration of this Act</w:t>
      </w:r>
      <w:r>
        <w:rPr>
          <w:noProof/>
        </w:rPr>
        <w:tab/>
      </w:r>
      <w:r>
        <w:rPr>
          <w:noProof/>
        </w:rPr>
        <w:fldChar w:fldCharType="begin"/>
      </w:r>
      <w:r>
        <w:rPr>
          <w:noProof/>
        </w:rPr>
        <w:instrText xml:space="preserve"> PAGEREF _Toc518096102 \h </w:instrText>
      </w:r>
      <w:r>
        <w:rPr>
          <w:noProof/>
        </w:rPr>
      </w:r>
      <w:r>
        <w:rPr>
          <w:noProof/>
        </w:rPr>
        <w:fldChar w:fldCharType="separate"/>
      </w:r>
      <w:r>
        <w:rPr>
          <w:noProof/>
        </w:rPr>
        <w:t>6</w:t>
      </w:r>
      <w:r>
        <w:rPr>
          <w:noProof/>
        </w:rPr>
        <w:fldChar w:fldCharType="end"/>
      </w:r>
    </w:p>
    <w:p>
      <w:pPr>
        <w:pStyle w:val="TOC4"/>
        <w:tabs>
          <w:tab w:val="left" w:pos="1701"/>
        </w:tabs>
        <w:rPr>
          <w:noProof/>
        </w:rPr>
      </w:pPr>
      <w:r>
        <w:rPr>
          <w:noProof/>
        </w:rPr>
        <w:t>18</w:t>
      </w:r>
      <w:r>
        <w:rPr>
          <w:noProof/>
          <w:snapToGrid w:val="0"/>
        </w:rPr>
        <w:t>.</w:t>
      </w:r>
      <w:r>
        <w:rPr>
          <w:noProof/>
        </w:rPr>
        <w:tab/>
      </w:r>
      <w:r>
        <w:rPr>
          <w:noProof/>
          <w:snapToGrid w:val="0"/>
        </w:rPr>
        <w:t>Functions of the Authority</w:t>
      </w:r>
      <w:r>
        <w:rPr>
          <w:noProof/>
        </w:rPr>
        <w:tab/>
      </w:r>
      <w:r>
        <w:rPr>
          <w:noProof/>
        </w:rPr>
        <w:fldChar w:fldCharType="begin"/>
      </w:r>
      <w:r>
        <w:rPr>
          <w:noProof/>
        </w:rPr>
        <w:instrText xml:space="preserve"> PAGEREF _Toc518096103 \h </w:instrText>
      </w:r>
      <w:r>
        <w:rPr>
          <w:noProof/>
        </w:rPr>
      </w:r>
      <w:r>
        <w:rPr>
          <w:noProof/>
        </w:rPr>
        <w:fldChar w:fldCharType="separate"/>
      </w:r>
      <w:r>
        <w:rPr>
          <w:noProof/>
        </w:rPr>
        <w:t>6</w:t>
      </w:r>
      <w:r>
        <w:rPr>
          <w:noProof/>
        </w:rPr>
        <w:fldChar w:fldCharType="end"/>
      </w:r>
    </w:p>
    <w:p>
      <w:pPr>
        <w:pStyle w:val="TOC4"/>
        <w:tabs>
          <w:tab w:val="left" w:pos="1701"/>
        </w:tabs>
        <w:rPr>
          <w:noProof/>
        </w:rPr>
      </w:pPr>
      <w:r>
        <w:rPr>
          <w:noProof/>
        </w:rPr>
        <w:t>19</w:t>
      </w:r>
      <w:r>
        <w:rPr>
          <w:noProof/>
          <w:snapToGrid w:val="0"/>
        </w:rPr>
        <w:t>.</w:t>
      </w:r>
      <w:r>
        <w:rPr>
          <w:noProof/>
        </w:rPr>
        <w:tab/>
      </w:r>
      <w:r>
        <w:rPr>
          <w:noProof/>
          <w:snapToGrid w:val="0"/>
        </w:rPr>
        <w:t>Powers</w:t>
      </w:r>
      <w:r>
        <w:rPr>
          <w:noProof/>
        </w:rPr>
        <w:tab/>
      </w:r>
      <w:r>
        <w:rPr>
          <w:noProof/>
        </w:rPr>
        <w:fldChar w:fldCharType="begin"/>
      </w:r>
      <w:r>
        <w:rPr>
          <w:noProof/>
        </w:rPr>
        <w:instrText xml:space="preserve"> PAGEREF _Toc518096104 \h </w:instrText>
      </w:r>
      <w:r>
        <w:rPr>
          <w:noProof/>
        </w:rPr>
      </w:r>
      <w:r>
        <w:rPr>
          <w:noProof/>
        </w:rPr>
        <w:fldChar w:fldCharType="separate"/>
      </w:r>
      <w:r>
        <w:rPr>
          <w:noProof/>
        </w:rPr>
        <w:t>8</w:t>
      </w:r>
      <w:r>
        <w:rPr>
          <w:noProof/>
        </w:rPr>
        <w:fldChar w:fldCharType="end"/>
      </w:r>
    </w:p>
    <w:p>
      <w:pPr>
        <w:pStyle w:val="TOC3"/>
        <w:rPr>
          <w:noProof/>
        </w:rPr>
      </w:pPr>
      <w:r>
        <w:rPr>
          <w:noProof/>
        </w:rPr>
        <w:t>Division 3</w:t>
      </w:r>
      <w:r>
        <w:rPr>
          <w:noProof/>
          <w:snapToGrid w:val="0"/>
        </w:rPr>
        <w:t> — </w:t>
      </w:r>
      <w:r>
        <w:rPr>
          <w:noProof/>
        </w:rPr>
        <w:t>Staff</w:t>
      </w:r>
    </w:p>
    <w:p>
      <w:pPr>
        <w:pStyle w:val="TOC4"/>
        <w:tabs>
          <w:tab w:val="left" w:pos="1701"/>
        </w:tabs>
        <w:rPr>
          <w:noProof/>
        </w:rPr>
      </w:pPr>
      <w:r>
        <w:rPr>
          <w:noProof/>
        </w:rPr>
        <w:t>21</w:t>
      </w:r>
      <w:r>
        <w:rPr>
          <w:noProof/>
          <w:snapToGrid w:val="0"/>
        </w:rPr>
        <w:t>.</w:t>
      </w:r>
      <w:r>
        <w:rPr>
          <w:noProof/>
        </w:rPr>
        <w:tab/>
      </w:r>
      <w:r>
        <w:rPr>
          <w:noProof/>
          <w:snapToGrid w:val="0"/>
        </w:rPr>
        <w:t>Officers and wages employees</w:t>
      </w:r>
      <w:r>
        <w:rPr>
          <w:noProof/>
        </w:rPr>
        <w:tab/>
      </w:r>
      <w:r>
        <w:rPr>
          <w:noProof/>
        </w:rPr>
        <w:fldChar w:fldCharType="begin"/>
      </w:r>
      <w:r>
        <w:rPr>
          <w:noProof/>
        </w:rPr>
        <w:instrText xml:space="preserve"> PAGEREF _Toc518096105 \h </w:instrText>
      </w:r>
      <w:r>
        <w:rPr>
          <w:noProof/>
        </w:rPr>
      </w:r>
      <w:r>
        <w:rPr>
          <w:noProof/>
        </w:rPr>
        <w:fldChar w:fldCharType="separate"/>
      </w:r>
      <w:r>
        <w:rPr>
          <w:noProof/>
        </w:rPr>
        <w:t>8</w:t>
      </w:r>
      <w:r>
        <w:rPr>
          <w:noProof/>
        </w:rPr>
        <w:fldChar w:fldCharType="end"/>
      </w:r>
    </w:p>
    <w:p>
      <w:pPr>
        <w:pStyle w:val="TOC4"/>
        <w:tabs>
          <w:tab w:val="left" w:pos="1701"/>
        </w:tabs>
        <w:rPr>
          <w:noProof/>
        </w:rPr>
      </w:pPr>
      <w:r>
        <w:rPr>
          <w:noProof/>
        </w:rPr>
        <w:t>22</w:t>
      </w:r>
      <w:r>
        <w:rPr>
          <w:noProof/>
          <w:snapToGrid w:val="0"/>
        </w:rPr>
        <w:t>.</w:t>
      </w:r>
      <w:r>
        <w:rPr>
          <w:noProof/>
        </w:rPr>
        <w:tab/>
      </w:r>
      <w:r>
        <w:rPr>
          <w:noProof/>
          <w:snapToGrid w:val="0"/>
        </w:rPr>
        <w:t>Superannuation</w:t>
      </w:r>
      <w:r>
        <w:rPr>
          <w:noProof/>
        </w:rPr>
        <w:tab/>
      </w:r>
      <w:r>
        <w:rPr>
          <w:noProof/>
        </w:rPr>
        <w:fldChar w:fldCharType="begin"/>
      </w:r>
      <w:r>
        <w:rPr>
          <w:noProof/>
        </w:rPr>
        <w:instrText xml:space="preserve"> PAGEREF _Toc518096106 \h </w:instrText>
      </w:r>
      <w:r>
        <w:rPr>
          <w:noProof/>
        </w:rPr>
      </w:r>
      <w:r>
        <w:rPr>
          <w:noProof/>
        </w:rPr>
        <w:fldChar w:fldCharType="separate"/>
      </w:r>
      <w:r>
        <w:rPr>
          <w:noProof/>
        </w:rPr>
        <w:t>9</w:t>
      </w:r>
      <w:r>
        <w:rPr>
          <w:noProof/>
        </w:rPr>
        <w:fldChar w:fldCharType="end"/>
      </w:r>
    </w:p>
    <w:p>
      <w:pPr>
        <w:pStyle w:val="TOC4"/>
        <w:tabs>
          <w:tab w:val="left" w:pos="1701"/>
        </w:tabs>
        <w:rPr>
          <w:noProof/>
        </w:rPr>
      </w:pPr>
      <w:r>
        <w:rPr>
          <w:noProof/>
        </w:rPr>
        <w:t>23</w:t>
      </w:r>
      <w:r>
        <w:rPr>
          <w:noProof/>
          <w:snapToGrid w:val="0"/>
        </w:rPr>
        <w:t>.</w:t>
      </w:r>
      <w:r>
        <w:rPr>
          <w:noProof/>
        </w:rPr>
        <w:tab/>
      </w:r>
      <w:r>
        <w:rPr>
          <w:noProof/>
          <w:snapToGrid w:val="0"/>
        </w:rPr>
        <w:t>Co</w:t>
      </w:r>
      <w:r>
        <w:rPr>
          <w:noProof/>
          <w:snapToGrid w:val="0"/>
        </w:rPr>
        <w:noBreakHyphen/>
        <w:t>opted and seconded staff</w:t>
      </w:r>
      <w:r>
        <w:rPr>
          <w:noProof/>
        </w:rPr>
        <w:tab/>
      </w:r>
      <w:r>
        <w:rPr>
          <w:noProof/>
        </w:rPr>
        <w:fldChar w:fldCharType="begin"/>
      </w:r>
      <w:r>
        <w:rPr>
          <w:noProof/>
        </w:rPr>
        <w:instrText xml:space="preserve"> PAGEREF _Toc518096107 \h </w:instrText>
      </w:r>
      <w:r>
        <w:rPr>
          <w:noProof/>
        </w:rPr>
      </w:r>
      <w:r>
        <w:rPr>
          <w:noProof/>
        </w:rPr>
        <w:fldChar w:fldCharType="separate"/>
      </w:r>
      <w:r>
        <w:rPr>
          <w:noProof/>
        </w:rPr>
        <w:t>9</w:t>
      </w:r>
      <w:r>
        <w:rPr>
          <w:noProof/>
        </w:rPr>
        <w:fldChar w:fldCharType="end"/>
      </w:r>
    </w:p>
    <w:p>
      <w:pPr>
        <w:pStyle w:val="TOC4"/>
        <w:tabs>
          <w:tab w:val="left" w:pos="1701"/>
        </w:tabs>
        <w:rPr>
          <w:noProof/>
        </w:rPr>
      </w:pPr>
      <w:r>
        <w:rPr>
          <w:noProof/>
        </w:rPr>
        <w:t>24</w:t>
      </w:r>
      <w:r>
        <w:rPr>
          <w:noProof/>
          <w:snapToGrid w:val="0"/>
        </w:rPr>
        <w:t>.</w:t>
      </w:r>
      <w:r>
        <w:rPr>
          <w:noProof/>
        </w:rPr>
        <w:tab/>
      </w:r>
      <w:r>
        <w:rPr>
          <w:noProof/>
          <w:snapToGrid w:val="0"/>
        </w:rPr>
        <w:t>Contractual services</w:t>
      </w:r>
      <w:r>
        <w:rPr>
          <w:noProof/>
        </w:rPr>
        <w:tab/>
      </w:r>
      <w:r>
        <w:rPr>
          <w:noProof/>
        </w:rPr>
        <w:fldChar w:fldCharType="begin"/>
      </w:r>
      <w:r>
        <w:rPr>
          <w:noProof/>
        </w:rPr>
        <w:instrText xml:space="preserve"> PAGEREF _Toc518096108 \h </w:instrText>
      </w:r>
      <w:r>
        <w:rPr>
          <w:noProof/>
        </w:rPr>
      </w:r>
      <w:r>
        <w:rPr>
          <w:noProof/>
        </w:rPr>
        <w:fldChar w:fldCharType="separate"/>
      </w:r>
      <w:r>
        <w:rPr>
          <w:noProof/>
        </w:rPr>
        <w:t>10</w:t>
      </w:r>
      <w:r>
        <w:rPr>
          <w:noProof/>
        </w:rPr>
        <w:fldChar w:fldCharType="end"/>
      </w:r>
    </w:p>
    <w:p>
      <w:pPr>
        <w:pStyle w:val="TOC2"/>
        <w:tabs>
          <w:tab w:val="right" w:leader="dot" w:pos="7086"/>
        </w:tabs>
        <w:rPr>
          <w:noProof/>
        </w:rPr>
      </w:pPr>
      <w:r>
        <w:rPr>
          <w:noProof/>
        </w:rPr>
        <w:t>Part III — Alcohol and drug Centres</w:t>
      </w:r>
    </w:p>
    <w:p>
      <w:pPr>
        <w:pStyle w:val="TOC4"/>
        <w:tabs>
          <w:tab w:val="left" w:pos="1701"/>
        </w:tabs>
        <w:rPr>
          <w:noProof/>
        </w:rPr>
      </w:pPr>
      <w:r>
        <w:rPr>
          <w:noProof/>
        </w:rPr>
        <w:t>25</w:t>
      </w:r>
      <w:r>
        <w:rPr>
          <w:noProof/>
          <w:snapToGrid w:val="0"/>
        </w:rPr>
        <w:t>.</w:t>
      </w:r>
      <w:r>
        <w:rPr>
          <w:noProof/>
        </w:rPr>
        <w:tab/>
      </w:r>
      <w:r>
        <w:rPr>
          <w:noProof/>
          <w:snapToGrid w:val="0"/>
        </w:rPr>
        <w:t>Centres</w:t>
      </w:r>
      <w:r>
        <w:rPr>
          <w:noProof/>
        </w:rPr>
        <w:tab/>
      </w:r>
      <w:r>
        <w:rPr>
          <w:noProof/>
        </w:rPr>
        <w:fldChar w:fldCharType="begin"/>
      </w:r>
      <w:r>
        <w:rPr>
          <w:noProof/>
        </w:rPr>
        <w:instrText xml:space="preserve"> PAGEREF _Toc518096109 \h </w:instrText>
      </w:r>
      <w:r>
        <w:rPr>
          <w:noProof/>
        </w:rPr>
      </w:r>
      <w:r>
        <w:rPr>
          <w:noProof/>
        </w:rPr>
        <w:fldChar w:fldCharType="separate"/>
      </w:r>
      <w:r>
        <w:rPr>
          <w:noProof/>
        </w:rPr>
        <w:t>11</w:t>
      </w:r>
      <w:r>
        <w:rPr>
          <w:noProof/>
        </w:rPr>
        <w:fldChar w:fldCharType="end"/>
      </w:r>
    </w:p>
    <w:p>
      <w:pPr>
        <w:pStyle w:val="TOC4"/>
        <w:tabs>
          <w:tab w:val="left" w:pos="1701"/>
        </w:tabs>
        <w:rPr>
          <w:noProof/>
        </w:rPr>
      </w:pPr>
      <w:r>
        <w:rPr>
          <w:noProof/>
        </w:rPr>
        <w:t>26</w:t>
      </w:r>
      <w:r>
        <w:rPr>
          <w:noProof/>
          <w:snapToGrid w:val="0"/>
        </w:rPr>
        <w:t>.</w:t>
      </w:r>
      <w:r>
        <w:rPr>
          <w:noProof/>
        </w:rPr>
        <w:tab/>
      </w:r>
      <w:r>
        <w:rPr>
          <w:noProof/>
          <w:snapToGrid w:val="0"/>
        </w:rPr>
        <w:t>Procedure on deaths in Centres</w:t>
      </w:r>
      <w:r>
        <w:rPr>
          <w:noProof/>
        </w:rPr>
        <w:tab/>
      </w:r>
      <w:r>
        <w:rPr>
          <w:noProof/>
        </w:rPr>
        <w:fldChar w:fldCharType="begin"/>
      </w:r>
      <w:r>
        <w:rPr>
          <w:noProof/>
        </w:rPr>
        <w:instrText xml:space="preserve"> PAGEREF _Toc518096110 \h </w:instrText>
      </w:r>
      <w:r>
        <w:rPr>
          <w:noProof/>
        </w:rPr>
      </w:r>
      <w:r>
        <w:rPr>
          <w:noProof/>
        </w:rPr>
        <w:fldChar w:fldCharType="separate"/>
      </w:r>
      <w:r>
        <w:rPr>
          <w:noProof/>
        </w:rPr>
        <w:t>11</w:t>
      </w:r>
      <w:r>
        <w:rPr>
          <w:noProof/>
        </w:rPr>
        <w:fldChar w:fldCharType="end"/>
      </w:r>
    </w:p>
    <w:p>
      <w:pPr>
        <w:pStyle w:val="TOC2"/>
        <w:tabs>
          <w:tab w:val="right" w:leader="dot" w:pos="7086"/>
        </w:tabs>
        <w:rPr>
          <w:noProof/>
        </w:rPr>
      </w:pPr>
      <w:r>
        <w:rPr>
          <w:noProof/>
        </w:rPr>
        <w:t>Part IV — Financial provisions</w:t>
      </w:r>
    </w:p>
    <w:p>
      <w:pPr>
        <w:pStyle w:val="TOC4"/>
        <w:tabs>
          <w:tab w:val="left" w:pos="1701"/>
        </w:tabs>
        <w:rPr>
          <w:noProof/>
        </w:rPr>
      </w:pPr>
      <w:r>
        <w:rPr>
          <w:noProof/>
        </w:rPr>
        <w:t>27</w:t>
      </w:r>
      <w:r>
        <w:rPr>
          <w:noProof/>
          <w:snapToGrid w:val="0"/>
        </w:rPr>
        <w:t>.</w:t>
      </w:r>
      <w:r>
        <w:rPr>
          <w:noProof/>
        </w:rPr>
        <w:tab/>
      </w:r>
      <w:r>
        <w:rPr>
          <w:noProof/>
          <w:snapToGrid w:val="0"/>
        </w:rPr>
        <w:t xml:space="preserve">Application of the </w:t>
      </w:r>
      <w:r>
        <w:rPr>
          <w:i/>
          <w:noProof/>
          <w:snapToGrid w:val="0"/>
        </w:rPr>
        <w:t>Financial Administration and Audit Act 1985</w:t>
      </w:r>
      <w:r>
        <w:rPr>
          <w:noProof/>
        </w:rPr>
        <w:tab/>
      </w:r>
      <w:r>
        <w:rPr>
          <w:noProof/>
        </w:rPr>
        <w:fldChar w:fldCharType="begin"/>
      </w:r>
      <w:r>
        <w:rPr>
          <w:noProof/>
        </w:rPr>
        <w:instrText xml:space="preserve"> PAGEREF _Toc518096111 \h </w:instrText>
      </w:r>
      <w:r>
        <w:rPr>
          <w:noProof/>
        </w:rPr>
      </w:r>
      <w:r>
        <w:rPr>
          <w:noProof/>
        </w:rPr>
        <w:fldChar w:fldCharType="separate"/>
      </w:r>
      <w:r>
        <w:rPr>
          <w:noProof/>
        </w:rPr>
        <w:t>12</w:t>
      </w:r>
      <w:r>
        <w:rPr>
          <w:noProof/>
        </w:rPr>
        <w:fldChar w:fldCharType="end"/>
      </w:r>
    </w:p>
    <w:p>
      <w:pPr>
        <w:pStyle w:val="TOC4"/>
        <w:tabs>
          <w:tab w:val="left" w:pos="1701"/>
        </w:tabs>
        <w:rPr>
          <w:noProof/>
        </w:rPr>
      </w:pPr>
      <w:r>
        <w:rPr>
          <w:noProof/>
        </w:rPr>
        <w:t>28</w:t>
      </w:r>
      <w:r>
        <w:rPr>
          <w:noProof/>
          <w:snapToGrid w:val="0"/>
        </w:rPr>
        <w:t>.</w:t>
      </w:r>
      <w:r>
        <w:rPr>
          <w:noProof/>
        </w:rPr>
        <w:tab/>
      </w:r>
      <w:r>
        <w:rPr>
          <w:noProof/>
          <w:snapToGrid w:val="0"/>
        </w:rPr>
        <w:t>Funds of the Authority</w:t>
      </w:r>
      <w:r>
        <w:rPr>
          <w:noProof/>
        </w:rPr>
        <w:tab/>
      </w:r>
      <w:r>
        <w:rPr>
          <w:noProof/>
        </w:rPr>
        <w:fldChar w:fldCharType="begin"/>
      </w:r>
      <w:r>
        <w:rPr>
          <w:noProof/>
        </w:rPr>
        <w:instrText xml:space="preserve"> PAGEREF _Toc518096112 \h </w:instrText>
      </w:r>
      <w:r>
        <w:rPr>
          <w:noProof/>
        </w:rPr>
      </w:r>
      <w:r>
        <w:rPr>
          <w:noProof/>
        </w:rPr>
        <w:fldChar w:fldCharType="separate"/>
      </w:r>
      <w:r>
        <w:rPr>
          <w:noProof/>
        </w:rPr>
        <w:t>12</w:t>
      </w:r>
      <w:r>
        <w:rPr>
          <w:noProof/>
        </w:rPr>
        <w:fldChar w:fldCharType="end"/>
      </w:r>
    </w:p>
    <w:p>
      <w:pPr>
        <w:pStyle w:val="TOC4"/>
        <w:tabs>
          <w:tab w:val="left" w:pos="1701"/>
        </w:tabs>
        <w:rPr>
          <w:noProof/>
        </w:rPr>
      </w:pPr>
      <w:r>
        <w:rPr>
          <w:noProof/>
        </w:rPr>
        <w:t>29</w:t>
      </w:r>
      <w:r>
        <w:rPr>
          <w:noProof/>
          <w:snapToGrid w:val="0"/>
        </w:rPr>
        <w:t>.</w:t>
      </w:r>
      <w:r>
        <w:rPr>
          <w:noProof/>
        </w:rPr>
        <w:tab/>
      </w:r>
      <w:r>
        <w:rPr>
          <w:noProof/>
          <w:snapToGrid w:val="0"/>
        </w:rPr>
        <w:t>Power to borrow money</w:t>
      </w:r>
      <w:r>
        <w:rPr>
          <w:noProof/>
        </w:rPr>
        <w:tab/>
      </w:r>
      <w:r>
        <w:rPr>
          <w:noProof/>
        </w:rPr>
        <w:fldChar w:fldCharType="begin"/>
      </w:r>
      <w:r>
        <w:rPr>
          <w:noProof/>
        </w:rPr>
        <w:instrText xml:space="preserve"> PAGEREF _Toc518096113 \h </w:instrText>
      </w:r>
      <w:r>
        <w:rPr>
          <w:noProof/>
        </w:rPr>
      </w:r>
      <w:r>
        <w:rPr>
          <w:noProof/>
        </w:rPr>
        <w:fldChar w:fldCharType="separate"/>
      </w:r>
      <w:r>
        <w:rPr>
          <w:noProof/>
        </w:rPr>
        <w:t>13</w:t>
      </w:r>
      <w:r>
        <w:rPr>
          <w:noProof/>
        </w:rPr>
        <w:fldChar w:fldCharType="end"/>
      </w:r>
    </w:p>
    <w:p>
      <w:pPr>
        <w:pStyle w:val="TOC4"/>
        <w:tabs>
          <w:tab w:val="left" w:pos="1701"/>
        </w:tabs>
        <w:rPr>
          <w:noProof/>
        </w:rPr>
      </w:pPr>
      <w:r>
        <w:rPr>
          <w:noProof/>
        </w:rPr>
        <w:t>30</w:t>
      </w:r>
      <w:r>
        <w:rPr>
          <w:noProof/>
          <w:snapToGrid w:val="0"/>
        </w:rPr>
        <w:t>.</w:t>
      </w:r>
      <w:r>
        <w:rPr>
          <w:noProof/>
        </w:rPr>
        <w:tab/>
      </w:r>
      <w:r>
        <w:rPr>
          <w:noProof/>
          <w:snapToGrid w:val="0"/>
        </w:rPr>
        <w:t>Power of the Authority to invest certain moneys</w:t>
      </w:r>
      <w:r>
        <w:rPr>
          <w:noProof/>
        </w:rPr>
        <w:tab/>
      </w:r>
      <w:r>
        <w:rPr>
          <w:noProof/>
        </w:rPr>
        <w:fldChar w:fldCharType="begin"/>
      </w:r>
      <w:r>
        <w:rPr>
          <w:noProof/>
        </w:rPr>
        <w:instrText xml:space="preserve"> PAGEREF _Toc518096114 \h </w:instrText>
      </w:r>
      <w:r>
        <w:rPr>
          <w:noProof/>
        </w:rPr>
      </w:r>
      <w:r>
        <w:rPr>
          <w:noProof/>
        </w:rPr>
        <w:fldChar w:fldCharType="separate"/>
      </w:r>
      <w:r>
        <w:rPr>
          <w:noProof/>
        </w:rPr>
        <w:t>13</w:t>
      </w:r>
      <w:r>
        <w:rPr>
          <w:noProof/>
        </w:rPr>
        <w:fldChar w:fldCharType="end"/>
      </w:r>
    </w:p>
    <w:p>
      <w:pPr>
        <w:pStyle w:val="TOC4"/>
        <w:tabs>
          <w:tab w:val="left" w:pos="1701"/>
        </w:tabs>
        <w:rPr>
          <w:noProof/>
        </w:rPr>
      </w:pPr>
      <w:r>
        <w:rPr>
          <w:noProof/>
        </w:rPr>
        <w:t>32</w:t>
      </w:r>
      <w:r>
        <w:rPr>
          <w:noProof/>
          <w:snapToGrid w:val="0"/>
        </w:rPr>
        <w:t>.</w:t>
      </w:r>
      <w:r>
        <w:rPr>
          <w:noProof/>
        </w:rPr>
        <w:tab/>
      </w:r>
      <w:r>
        <w:rPr>
          <w:noProof/>
          <w:snapToGrid w:val="0"/>
        </w:rPr>
        <w:t>Application of moneys received by the Authority</w:t>
      </w:r>
      <w:r>
        <w:rPr>
          <w:noProof/>
        </w:rPr>
        <w:tab/>
      </w:r>
      <w:r>
        <w:rPr>
          <w:noProof/>
        </w:rPr>
        <w:fldChar w:fldCharType="begin"/>
      </w:r>
      <w:r>
        <w:rPr>
          <w:noProof/>
        </w:rPr>
        <w:instrText xml:space="preserve"> PAGEREF _Toc518096115 \h </w:instrText>
      </w:r>
      <w:r>
        <w:rPr>
          <w:noProof/>
        </w:rPr>
      </w:r>
      <w:r>
        <w:rPr>
          <w:noProof/>
        </w:rPr>
        <w:fldChar w:fldCharType="separate"/>
      </w:r>
      <w:r>
        <w:rPr>
          <w:noProof/>
        </w:rPr>
        <w:t>14</w:t>
      </w:r>
      <w:r>
        <w:rPr>
          <w:noProof/>
        </w:rPr>
        <w:fldChar w:fldCharType="end"/>
      </w:r>
    </w:p>
    <w:p>
      <w:pPr>
        <w:pStyle w:val="TOC2"/>
        <w:tabs>
          <w:tab w:val="right" w:leader="dot" w:pos="7086"/>
        </w:tabs>
        <w:rPr>
          <w:noProof/>
        </w:rPr>
      </w:pPr>
      <w:r>
        <w:rPr>
          <w:noProof/>
        </w:rPr>
        <w:t>Part V — Miscellaneous provisions</w:t>
      </w:r>
    </w:p>
    <w:p>
      <w:pPr>
        <w:pStyle w:val="TOC4"/>
        <w:tabs>
          <w:tab w:val="left" w:pos="1701"/>
        </w:tabs>
        <w:rPr>
          <w:noProof/>
        </w:rPr>
      </w:pPr>
      <w:r>
        <w:rPr>
          <w:noProof/>
        </w:rPr>
        <w:t>34</w:t>
      </w:r>
      <w:r>
        <w:rPr>
          <w:noProof/>
          <w:snapToGrid w:val="0"/>
        </w:rPr>
        <w:t>.</w:t>
      </w:r>
      <w:r>
        <w:rPr>
          <w:noProof/>
        </w:rPr>
        <w:tab/>
      </w:r>
      <w:r>
        <w:rPr>
          <w:noProof/>
          <w:snapToGrid w:val="0"/>
        </w:rPr>
        <w:t>Recovery of fees</w:t>
      </w:r>
      <w:r>
        <w:rPr>
          <w:noProof/>
        </w:rPr>
        <w:tab/>
      </w:r>
      <w:r>
        <w:rPr>
          <w:noProof/>
        </w:rPr>
        <w:fldChar w:fldCharType="begin"/>
      </w:r>
      <w:r>
        <w:rPr>
          <w:noProof/>
        </w:rPr>
        <w:instrText xml:space="preserve"> PAGEREF _Toc518096116 \h </w:instrText>
      </w:r>
      <w:r>
        <w:rPr>
          <w:noProof/>
        </w:rPr>
      </w:r>
      <w:r>
        <w:rPr>
          <w:noProof/>
        </w:rPr>
        <w:fldChar w:fldCharType="separate"/>
      </w:r>
      <w:r>
        <w:rPr>
          <w:noProof/>
        </w:rPr>
        <w:t>15</w:t>
      </w:r>
      <w:r>
        <w:rPr>
          <w:noProof/>
        </w:rPr>
        <w:fldChar w:fldCharType="end"/>
      </w:r>
    </w:p>
    <w:p>
      <w:pPr>
        <w:pStyle w:val="TOC4"/>
        <w:tabs>
          <w:tab w:val="left" w:pos="1701"/>
        </w:tabs>
        <w:rPr>
          <w:noProof/>
        </w:rPr>
      </w:pPr>
      <w:r>
        <w:rPr>
          <w:noProof/>
        </w:rPr>
        <w:t>35</w:t>
      </w:r>
      <w:r>
        <w:rPr>
          <w:noProof/>
          <w:snapToGrid w:val="0"/>
        </w:rPr>
        <w:t>.</w:t>
      </w:r>
      <w:r>
        <w:rPr>
          <w:noProof/>
        </w:rPr>
        <w:tab/>
      </w:r>
      <w:r>
        <w:rPr>
          <w:noProof/>
          <w:snapToGrid w:val="0"/>
        </w:rPr>
        <w:t>Protection of members</w:t>
      </w:r>
      <w:r>
        <w:rPr>
          <w:noProof/>
        </w:rPr>
        <w:tab/>
      </w:r>
      <w:r>
        <w:rPr>
          <w:noProof/>
        </w:rPr>
        <w:fldChar w:fldCharType="begin"/>
      </w:r>
      <w:r>
        <w:rPr>
          <w:noProof/>
        </w:rPr>
        <w:instrText xml:space="preserve"> PAGEREF _Toc518096117 \h </w:instrText>
      </w:r>
      <w:r>
        <w:rPr>
          <w:noProof/>
        </w:rPr>
      </w:r>
      <w:r>
        <w:rPr>
          <w:noProof/>
        </w:rPr>
        <w:fldChar w:fldCharType="separate"/>
      </w:r>
      <w:r>
        <w:rPr>
          <w:noProof/>
        </w:rPr>
        <w:t>15</w:t>
      </w:r>
      <w:r>
        <w:rPr>
          <w:noProof/>
        </w:rPr>
        <w:fldChar w:fldCharType="end"/>
      </w:r>
    </w:p>
    <w:p>
      <w:pPr>
        <w:pStyle w:val="TOC4"/>
        <w:tabs>
          <w:tab w:val="left" w:pos="1701"/>
        </w:tabs>
        <w:rPr>
          <w:noProof/>
        </w:rPr>
      </w:pPr>
      <w:r>
        <w:rPr>
          <w:noProof/>
        </w:rPr>
        <w:t>36</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_Toc518096118 \h </w:instrText>
      </w:r>
      <w:r>
        <w:rPr>
          <w:noProof/>
        </w:rPr>
      </w:r>
      <w:r>
        <w:rPr>
          <w:noProof/>
        </w:rPr>
        <w:fldChar w:fldCharType="separate"/>
      </w:r>
      <w:r>
        <w:rPr>
          <w:noProof/>
        </w:rPr>
        <w:t>15</w:t>
      </w:r>
      <w:r>
        <w:rPr>
          <w:noProof/>
        </w:rPr>
        <w:fldChar w:fldCharType="end"/>
      </w:r>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_Toc518096119 \h </w:instrText>
      </w:r>
      <w:r>
        <w:rPr>
          <w:noProof/>
        </w:rPr>
      </w:r>
      <w:r>
        <w:rPr>
          <w:noProof/>
        </w:rPr>
        <w:fldChar w:fldCharType="separate"/>
      </w:r>
      <w:r>
        <w:rPr>
          <w:noProof/>
        </w:rPr>
        <w:t>17</w:t>
      </w:r>
      <w:r>
        <w:rPr>
          <w:noProof/>
        </w:rPr>
        <w:fldChar w:fldCharType="end"/>
      </w:r>
    </w:p>
    <w:p>
      <w:pPr>
        <w:pStyle w:val="TOC4"/>
      </w:pPr>
      <w:r>
        <w:rPr>
          <w:noProof/>
        </w:rPr>
        <w:tab/>
        <w:t>Provisions that have not come into operation</w:t>
      </w:r>
      <w:r>
        <w:rPr>
          <w:noProof/>
        </w:rPr>
        <w:tab/>
      </w:r>
      <w:r>
        <w:rPr>
          <w:noProof/>
        </w:rPr>
        <w:fldChar w:fldCharType="begin"/>
      </w:r>
      <w:r>
        <w:rPr>
          <w:noProof/>
        </w:rPr>
        <w:instrText xml:space="preserve"> PAGEREF _Toc518096120 \h </w:instrText>
      </w:r>
      <w:r>
        <w:rPr>
          <w:noProof/>
        </w:rPr>
      </w:r>
      <w:r>
        <w:rPr>
          <w:noProof/>
        </w:rPr>
        <w:fldChar w:fldCharType="separate"/>
      </w:r>
      <w:r>
        <w:rPr>
          <w:noProof/>
        </w:rPr>
        <w:t>19</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pPr>
      <w:r>
        <w:t xml:space="preserve">Alcohol and Drug Authority Act 1974 </w:t>
      </w:r>
    </w:p>
    <w:p>
      <w:pPr>
        <w:pStyle w:val="LongTitle"/>
        <w:rPr>
          <w:snapToGrid w:val="0"/>
        </w:rPr>
      </w:pPr>
      <w:r>
        <w:rPr>
          <w:snapToGrid w:val="0"/>
        </w:rPr>
        <w:t xml:space="preserve">An Act for the purposes of constituting a body corporate with the functions of providing treatment, management, care, and rehabilitation of persons who are suffering from the consumption or use of alcoholic or other intoxicating liquors or drugs to excess; promoting and subsidising research and educational facilities directed at prevention and treatment of alcohol and drug abuse, and with further functions related thereto, and for incidental and other purposes. </w:t>
      </w:r>
    </w:p>
    <w:p>
      <w:pPr>
        <w:pStyle w:val="Heading2"/>
      </w:pPr>
      <w:r>
        <w:rPr>
          <w:rStyle w:val="CharPartNo"/>
        </w:rPr>
        <w:t>Part I</w:t>
      </w:r>
      <w:r>
        <w:rPr>
          <w:rStyle w:val="CharDivNo"/>
        </w:rPr>
        <w:t> </w:t>
      </w:r>
      <w:r>
        <w:t>—</w:t>
      </w:r>
      <w:r>
        <w:rPr>
          <w:rStyle w:val="CharDivText"/>
        </w:rPr>
        <w:t> </w:t>
      </w:r>
      <w:r>
        <w:rPr>
          <w:rStyle w:val="CharPartText"/>
        </w:rPr>
        <w:t xml:space="preserve">Preliminary </w:t>
      </w:r>
    </w:p>
    <w:p>
      <w:pPr>
        <w:pStyle w:val="Heading5"/>
        <w:rPr>
          <w:snapToGrid w:val="0"/>
        </w:rPr>
      </w:pPr>
      <w:bookmarkStart w:id="1" w:name="_Toc517588109"/>
      <w:bookmarkStart w:id="2" w:name="_Toc517588239"/>
      <w:bookmarkStart w:id="3" w:name="_Toc518096088"/>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Alcohol and Drug Authority Act 1974 </w:t>
      </w:r>
      <w:r>
        <w:rPr>
          <w:i/>
          <w:snapToGrid w:val="0"/>
          <w:vertAlign w:val="superscript"/>
        </w:rPr>
        <w:t>1</w:t>
      </w:r>
      <w:r>
        <w:rPr>
          <w:snapToGrid w:val="0"/>
        </w:rPr>
        <w:t>.</w:t>
      </w:r>
    </w:p>
    <w:p>
      <w:pPr>
        <w:pStyle w:val="Heading5"/>
        <w:rPr>
          <w:snapToGrid w:val="0"/>
        </w:rPr>
      </w:pPr>
      <w:bookmarkStart w:id="4" w:name="_Toc517588110"/>
      <w:bookmarkStart w:id="5" w:name="_Toc517588240"/>
      <w:bookmarkStart w:id="6" w:name="_Toc518096089"/>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r>
      <w:r>
        <w:tab/>
        <w:t>Repealed by No. 10 of 1998 s.76.]</w:t>
      </w:r>
    </w:p>
    <w:p>
      <w:pPr>
        <w:pStyle w:val="Heading5"/>
        <w:rPr>
          <w:snapToGrid w:val="0"/>
        </w:rPr>
      </w:pPr>
      <w:bookmarkStart w:id="7" w:name="_Toc517588111"/>
      <w:bookmarkStart w:id="8" w:name="_Toc517588241"/>
      <w:bookmarkStart w:id="9" w:name="_Toc518096090"/>
      <w:r>
        <w:rPr>
          <w:rStyle w:val="CharSectno"/>
        </w:rPr>
        <w:t>4</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w:t>
      </w:r>
      <w:r>
        <w:rPr>
          <w:rStyle w:val="CharDefText"/>
        </w:rPr>
        <w:t>Authority</w:t>
      </w:r>
      <w:r>
        <w:rPr>
          <w:b/>
        </w:rPr>
        <w:t>”</w:t>
      </w:r>
      <w:r>
        <w:t xml:space="preserve"> means the Western Australian Alcohol and Drug Authority established under this Act;</w:t>
      </w:r>
    </w:p>
    <w:p>
      <w:pPr>
        <w:pStyle w:val="Defstart"/>
      </w:pPr>
      <w:r>
        <w:rPr>
          <w:b/>
        </w:rPr>
        <w:tab/>
        <w:t>“</w:t>
      </w:r>
      <w:r>
        <w:rPr>
          <w:rStyle w:val="CharDefText"/>
        </w:rPr>
        <w:t>Chairman</w:t>
      </w:r>
      <w:r>
        <w:rPr>
          <w:b/>
        </w:rPr>
        <w:t>”</w:t>
      </w:r>
      <w:r>
        <w:t xml:space="preserve"> means the Chairman of the Authority;</w:t>
      </w:r>
    </w:p>
    <w:p>
      <w:pPr>
        <w:pStyle w:val="Defstart"/>
      </w:pPr>
      <w:r>
        <w:rPr>
          <w:b/>
        </w:rPr>
        <w:tab/>
        <w:t>“</w:t>
      </w:r>
      <w:r>
        <w:rPr>
          <w:rStyle w:val="CharDefText"/>
        </w:rPr>
        <w:t>Centre</w:t>
      </w:r>
      <w:r>
        <w:rPr>
          <w:b/>
        </w:rPr>
        <w:t>”</w:t>
      </w:r>
      <w:r>
        <w:t xml:space="preserve"> means premises maintained by the Authority for the assessment, treatment, management, care, or rehabilitation of persons suffering from alcohol or drug abuse;</w:t>
      </w:r>
    </w:p>
    <w:p>
      <w:pPr>
        <w:pStyle w:val="Defstart"/>
      </w:pPr>
      <w:r>
        <w:rPr>
          <w:b/>
        </w:rPr>
        <w:tab/>
        <w:t>“</w:t>
      </w:r>
      <w:r>
        <w:rPr>
          <w:rStyle w:val="CharDefText"/>
        </w:rPr>
        <w:t>Deputy Chairman</w:t>
      </w:r>
      <w:r>
        <w:rPr>
          <w:b/>
        </w:rPr>
        <w:t>”</w:t>
      </w:r>
      <w:r>
        <w:t xml:space="preserve"> means the Deputy Chairman of the Authority;</w:t>
      </w:r>
    </w:p>
    <w:p>
      <w:pPr>
        <w:pStyle w:val="Defstart"/>
      </w:pPr>
      <w:r>
        <w:rPr>
          <w:b/>
        </w:rPr>
        <w:tab/>
        <w:t>“</w:t>
      </w:r>
      <w:r>
        <w:rPr>
          <w:rStyle w:val="CharDefText"/>
        </w:rPr>
        <w:t>medical practitioner</w:t>
      </w:r>
      <w:r>
        <w:rPr>
          <w:b/>
        </w:rPr>
        <w:t>”</w:t>
      </w:r>
      <w:r>
        <w:t xml:space="preserve"> has the meaning assigned to it in section 3 of the </w:t>
      </w:r>
      <w:r>
        <w:rPr>
          <w:i/>
        </w:rPr>
        <w:t>Medical Act 1894</w:t>
      </w:r>
      <w:r>
        <w:t>;</w:t>
      </w:r>
    </w:p>
    <w:p>
      <w:pPr>
        <w:pStyle w:val="Defstart"/>
      </w:pPr>
      <w:r>
        <w:rPr>
          <w:b/>
        </w:rPr>
        <w:tab/>
        <w:t>“</w:t>
      </w:r>
      <w:r>
        <w:rPr>
          <w:rStyle w:val="CharDefText"/>
        </w:rPr>
        <w:t>member</w:t>
      </w:r>
      <w:r>
        <w:rPr>
          <w:b/>
        </w:rPr>
        <w:t>”</w:t>
      </w:r>
      <w:r>
        <w:t xml:space="preserve"> means a member of the Authority;</w:t>
      </w:r>
    </w:p>
    <w:p>
      <w:pPr>
        <w:pStyle w:val="Defstart"/>
      </w:pPr>
      <w:r>
        <w:rPr>
          <w:b/>
        </w:rPr>
        <w:tab/>
        <w:t>“</w:t>
      </w:r>
      <w:r>
        <w:rPr>
          <w:rStyle w:val="CharDefText"/>
        </w:rPr>
        <w:t>section</w:t>
      </w:r>
      <w:r>
        <w:rPr>
          <w:b/>
        </w:rPr>
        <w:t>”</w:t>
      </w:r>
      <w:r>
        <w:t xml:space="preserve"> means section of this Act;</w:t>
      </w:r>
    </w:p>
    <w:p>
      <w:pPr>
        <w:pStyle w:val="Defstart"/>
      </w:pPr>
      <w:r>
        <w:rPr>
          <w:b/>
        </w:rPr>
        <w:tab/>
        <w:t>“</w:t>
      </w:r>
      <w:bookmarkStart w:id="10" w:name="endcomma"/>
      <w:bookmarkEnd w:id="10"/>
      <w:r>
        <w:rPr>
          <w:rStyle w:val="CharDefText"/>
        </w:rPr>
        <w:t>subsection</w:t>
      </w:r>
      <w:r>
        <w:rPr>
          <w:b/>
        </w:rPr>
        <w:t>”</w:t>
      </w:r>
      <w:r>
        <w:t xml:space="preserve"> </w:t>
      </w:r>
      <w:bookmarkStart w:id="11" w:name="comma"/>
      <w:bookmarkEnd w:id="11"/>
      <w:r>
        <w:t>means a subsection of the section wherein the term is used.</w:t>
      </w:r>
    </w:p>
    <w:p>
      <w:pPr>
        <w:pStyle w:val="Footnotesection"/>
      </w:pPr>
      <w:r>
        <w:tab/>
        <w:t xml:space="preserve">[Section 4 amended by No. 32 of 1994 s.19.] </w:t>
      </w:r>
    </w:p>
    <w:p>
      <w:pPr>
        <w:pStyle w:val="Heading2"/>
      </w:pPr>
      <w:r>
        <w:rPr>
          <w:rStyle w:val="CharPartNo"/>
        </w:rPr>
        <w:t>Part II</w:t>
      </w:r>
      <w:r>
        <w:t> — </w:t>
      </w:r>
      <w:r>
        <w:rPr>
          <w:rStyle w:val="CharPartText"/>
        </w:rPr>
        <w:t xml:space="preserve">Alcohol and Drug Authority </w:t>
      </w:r>
    </w:p>
    <w:p>
      <w:pPr>
        <w:pStyle w:val="Heading3"/>
        <w:rPr>
          <w:snapToGrid w:val="0"/>
        </w:rPr>
      </w:pPr>
      <w:r>
        <w:rPr>
          <w:rStyle w:val="CharDivNo"/>
        </w:rPr>
        <w:t>Division 1</w:t>
      </w:r>
      <w:r>
        <w:rPr>
          <w:snapToGrid w:val="0"/>
        </w:rPr>
        <w:t> — </w:t>
      </w:r>
      <w:r>
        <w:rPr>
          <w:rStyle w:val="CharDivText"/>
        </w:rPr>
        <w:t xml:space="preserve">Establishment and terms of office </w:t>
      </w:r>
    </w:p>
    <w:p>
      <w:pPr>
        <w:pStyle w:val="Heading5"/>
        <w:rPr>
          <w:snapToGrid w:val="0"/>
        </w:rPr>
      </w:pPr>
      <w:bookmarkStart w:id="12" w:name="_Toc517588112"/>
      <w:bookmarkStart w:id="13" w:name="_Toc517588242"/>
      <w:bookmarkStart w:id="14" w:name="_Toc518096091"/>
      <w:r>
        <w:rPr>
          <w:rStyle w:val="CharSectno"/>
        </w:rPr>
        <w:t>5</w:t>
      </w:r>
      <w:r>
        <w:rPr>
          <w:snapToGrid w:val="0"/>
        </w:rPr>
        <w:t>.</w:t>
      </w:r>
      <w:r>
        <w:rPr>
          <w:snapToGrid w:val="0"/>
        </w:rPr>
        <w:tab/>
        <w:t>Establishment and incorporation</w:t>
      </w:r>
      <w:bookmarkEnd w:id="12"/>
      <w:bookmarkEnd w:id="13"/>
      <w:bookmarkEnd w:id="14"/>
      <w:r>
        <w:rPr>
          <w:snapToGrid w:val="0"/>
        </w:rPr>
        <w:t xml:space="preserve"> </w:t>
      </w:r>
    </w:p>
    <w:p>
      <w:pPr>
        <w:pStyle w:val="Subsection"/>
        <w:rPr>
          <w:snapToGrid w:val="0"/>
        </w:rPr>
      </w:pPr>
      <w:r>
        <w:rPr>
          <w:snapToGrid w:val="0"/>
        </w:rPr>
        <w:tab/>
        <w:t>(1)</w:t>
      </w:r>
      <w:r>
        <w:rPr>
          <w:snapToGrid w:val="0"/>
        </w:rPr>
        <w:tab/>
        <w:t>For the purposes of this Act an authority shall be established consisting of 4 members appointed by the Governor, one at least of whom shall be a medical practitioner.</w:t>
      </w:r>
    </w:p>
    <w:p>
      <w:pPr>
        <w:pStyle w:val="Subsection"/>
        <w:rPr>
          <w:snapToGrid w:val="0"/>
        </w:rPr>
      </w:pPr>
      <w:r>
        <w:rPr>
          <w:snapToGrid w:val="0"/>
        </w:rPr>
        <w:tab/>
        <w:t>(2)</w:t>
      </w:r>
      <w:r>
        <w:rPr>
          <w:snapToGrid w:val="0"/>
        </w:rPr>
        <w:tab/>
        <w:t>The Governor shall appoint one member to be Chairman and another member to be Deputy Chairman of the Authority.</w:t>
      </w:r>
    </w:p>
    <w:p>
      <w:pPr>
        <w:pStyle w:val="Subsection"/>
        <w:rPr>
          <w:snapToGrid w:val="0"/>
        </w:rPr>
      </w:pPr>
      <w:r>
        <w:rPr>
          <w:snapToGrid w:val="0"/>
        </w:rPr>
        <w:tab/>
        <w:t>(3)</w:t>
      </w:r>
      <w:r>
        <w:rPr>
          <w:snapToGrid w:val="0"/>
        </w:rPr>
        <w:tab/>
        <w:t xml:space="preserve">The Minister shall cause notice of appointments to the respective offices of members to be published in the </w:t>
      </w:r>
      <w:r>
        <w:rPr>
          <w:i/>
          <w:snapToGrid w:val="0"/>
        </w:rPr>
        <w:t>Government Gazette</w:t>
      </w:r>
      <w:r>
        <w:rPr>
          <w:snapToGrid w:val="0"/>
        </w:rPr>
        <w:t>.</w:t>
      </w:r>
    </w:p>
    <w:p>
      <w:pPr>
        <w:pStyle w:val="Subsection"/>
        <w:rPr>
          <w:snapToGrid w:val="0"/>
        </w:rPr>
      </w:pPr>
      <w:r>
        <w:rPr>
          <w:snapToGrid w:val="0"/>
        </w:rPr>
        <w:tab/>
        <w:t>(4)</w:t>
      </w:r>
      <w:r>
        <w:rPr>
          <w:snapToGrid w:val="0"/>
        </w:rPr>
        <w:tab/>
        <w:t>When notice of the appointment of the first 4 members is so published the Authority is thereby incorporated as a body corporate by the name of “Western Australian Alcohol and Drug Authority” and under that corporate name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take, purchase, and hold real and personal property including property devised, bequeathed, or given to the Authority;</w:t>
      </w:r>
    </w:p>
    <w:p>
      <w:pPr>
        <w:pStyle w:val="Indenta"/>
        <w:rPr>
          <w:snapToGrid w:val="0"/>
        </w:rPr>
      </w:pPr>
      <w:r>
        <w:rPr>
          <w:snapToGrid w:val="0"/>
        </w:rPr>
        <w:tab/>
        <w:t>(e)</w:t>
      </w:r>
      <w:r>
        <w:rPr>
          <w:snapToGrid w:val="0"/>
        </w:rPr>
        <w:tab/>
        <w:t>may, with the approval of the Governor, sell, alienate, mortgage, charge, and demise real or personal property;</w:t>
      </w:r>
    </w:p>
    <w:p>
      <w:pPr>
        <w:pStyle w:val="Indenta"/>
        <w:rPr>
          <w:snapToGrid w:val="0"/>
        </w:rPr>
      </w:pPr>
      <w:r>
        <w:rPr>
          <w:snapToGrid w:val="0"/>
        </w:rPr>
        <w:tab/>
        <w:t>(f)</w:t>
      </w:r>
      <w:r>
        <w:rPr>
          <w:snapToGrid w:val="0"/>
        </w:rPr>
        <w:tab/>
        <w:t>may sell, assign, or charge personal property; and</w:t>
      </w:r>
    </w:p>
    <w:p>
      <w:pPr>
        <w:pStyle w:val="Indenta"/>
        <w:rPr>
          <w:snapToGrid w:val="0"/>
        </w:rPr>
      </w:pPr>
      <w:r>
        <w:rPr>
          <w:snapToGrid w:val="0"/>
        </w:rPr>
        <w:tab/>
        <w:t>(g)</w:t>
      </w:r>
      <w:r>
        <w:rPr>
          <w:snapToGrid w:val="0"/>
        </w:rPr>
        <w:tab/>
        <w:t>may do and suffer all other things which bodies corporate may by law do and suffer.</w:t>
      </w:r>
    </w:p>
    <w:p>
      <w:pPr>
        <w:pStyle w:val="Subsection"/>
        <w:rPr>
          <w:snapToGrid w:val="0"/>
        </w:rPr>
      </w:pPr>
      <w:r>
        <w:rPr>
          <w:snapToGrid w:val="0"/>
        </w:rPr>
        <w:tab/>
        <w:t>(5)</w:t>
      </w:r>
      <w:r>
        <w:rPr>
          <w:snapToGrid w:val="0"/>
        </w:rPr>
        <w:tab/>
        <w:t>All courts, judges, and persons acting judicially shall take judicial notice of the common seal of the Authority affixed to a document, and presume it was duly affixed.</w:t>
      </w:r>
    </w:p>
    <w:p>
      <w:pPr>
        <w:pStyle w:val="Heading5"/>
        <w:rPr>
          <w:snapToGrid w:val="0"/>
        </w:rPr>
      </w:pPr>
      <w:bookmarkStart w:id="15" w:name="_Toc517588113"/>
      <w:bookmarkStart w:id="16" w:name="_Toc517588243"/>
      <w:bookmarkStart w:id="17" w:name="_Toc518096092"/>
      <w:r>
        <w:rPr>
          <w:rStyle w:val="CharSectno"/>
        </w:rPr>
        <w:t>6</w:t>
      </w:r>
      <w:r>
        <w:rPr>
          <w:snapToGrid w:val="0"/>
        </w:rPr>
        <w:t>.</w:t>
      </w:r>
      <w:r>
        <w:rPr>
          <w:snapToGrid w:val="0"/>
        </w:rPr>
        <w:tab/>
        <w:t>Term of office</w:t>
      </w:r>
      <w:bookmarkEnd w:id="15"/>
      <w:bookmarkEnd w:id="16"/>
      <w:bookmarkEnd w:id="17"/>
      <w:r>
        <w:rPr>
          <w:snapToGrid w:val="0"/>
        </w:rPr>
        <w:t xml:space="preserve"> </w:t>
      </w:r>
    </w:p>
    <w:p>
      <w:pPr>
        <w:pStyle w:val="Subsection"/>
        <w:rPr>
          <w:snapToGrid w:val="0"/>
        </w:rPr>
      </w:pPr>
      <w:r>
        <w:rPr>
          <w:snapToGrid w:val="0"/>
        </w:rPr>
        <w:tab/>
      </w:r>
      <w:r>
        <w:rPr>
          <w:snapToGrid w:val="0"/>
        </w:rPr>
        <w:tab/>
        <w:t>Subject to this Act, each member shall hold office for such period not exceeding 3 years as the Governor may fix at the time of the member’s appointment.</w:t>
      </w:r>
    </w:p>
    <w:p>
      <w:pPr>
        <w:pStyle w:val="Heading5"/>
        <w:rPr>
          <w:snapToGrid w:val="0"/>
        </w:rPr>
      </w:pPr>
      <w:bookmarkStart w:id="18" w:name="_Toc517588114"/>
      <w:bookmarkStart w:id="19" w:name="_Toc517588244"/>
      <w:bookmarkStart w:id="20" w:name="_Toc518096093"/>
      <w:r>
        <w:rPr>
          <w:rStyle w:val="CharSectno"/>
        </w:rPr>
        <w:t>7</w:t>
      </w:r>
      <w:r>
        <w:rPr>
          <w:snapToGrid w:val="0"/>
        </w:rPr>
        <w:t>.</w:t>
      </w:r>
      <w:r>
        <w:rPr>
          <w:snapToGrid w:val="0"/>
        </w:rPr>
        <w:tab/>
        <w:t>Re</w:t>
      </w:r>
      <w:r>
        <w:rPr>
          <w:snapToGrid w:val="0"/>
        </w:rPr>
        <w:noBreakHyphen/>
        <w:t>appointment</w:t>
      </w:r>
      <w:bookmarkEnd w:id="18"/>
      <w:bookmarkEnd w:id="19"/>
      <w:bookmarkEnd w:id="20"/>
      <w:r>
        <w:rPr>
          <w:snapToGrid w:val="0"/>
        </w:rPr>
        <w:t xml:space="preserve"> </w:t>
      </w:r>
    </w:p>
    <w:p>
      <w:pPr>
        <w:pStyle w:val="Subsection"/>
        <w:rPr>
          <w:snapToGrid w:val="0"/>
        </w:rPr>
      </w:pPr>
      <w:r>
        <w:rPr>
          <w:snapToGrid w:val="0"/>
        </w:rPr>
        <w:tab/>
      </w:r>
      <w:r>
        <w:rPr>
          <w:snapToGrid w:val="0"/>
        </w:rPr>
        <w:tab/>
        <w:t>All members, on the expiration of their term are, unless otherwise disqualified, eligible for re</w:t>
      </w:r>
      <w:r>
        <w:rPr>
          <w:snapToGrid w:val="0"/>
        </w:rPr>
        <w:noBreakHyphen/>
        <w:t>appointment.</w:t>
      </w:r>
    </w:p>
    <w:p>
      <w:pPr>
        <w:pStyle w:val="Heading5"/>
        <w:rPr>
          <w:snapToGrid w:val="0"/>
        </w:rPr>
      </w:pPr>
      <w:bookmarkStart w:id="21" w:name="_Toc517588115"/>
      <w:bookmarkStart w:id="22" w:name="_Toc517588245"/>
      <w:bookmarkStart w:id="23" w:name="_Toc518096094"/>
      <w:r>
        <w:rPr>
          <w:rStyle w:val="CharSectno"/>
        </w:rPr>
        <w:t>8</w:t>
      </w:r>
      <w:r>
        <w:rPr>
          <w:snapToGrid w:val="0"/>
        </w:rPr>
        <w:t>.</w:t>
      </w:r>
      <w:r>
        <w:rPr>
          <w:snapToGrid w:val="0"/>
        </w:rPr>
        <w:tab/>
        <w:t>Leave of absence</w:t>
      </w:r>
      <w:bookmarkEnd w:id="21"/>
      <w:bookmarkEnd w:id="22"/>
      <w:bookmarkEnd w:id="23"/>
      <w:r>
        <w:rPr>
          <w:snapToGrid w:val="0"/>
        </w:rPr>
        <w:t xml:space="preserve"> </w:t>
      </w:r>
    </w:p>
    <w:p>
      <w:pPr>
        <w:pStyle w:val="Subsection"/>
        <w:rPr>
          <w:snapToGrid w:val="0"/>
        </w:rPr>
      </w:pPr>
      <w:r>
        <w:rPr>
          <w:snapToGrid w:val="0"/>
        </w:rPr>
        <w:tab/>
      </w:r>
      <w:r>
        <w:rPr>
          <w:snapToGrid w:val="0"/>
        </w:rPr>
        <w:tab/>
        <w:t>The Authority may grant leave of absence to a member on such terms and conditions as the Authority determines.</w:t>
      </w:r>
    </w:p>
    <w:p>
      <w:pPr>
        <w:pStyle w:val="Heading5"/>
        <w:rPr>
          <w:snapToGrid w:val="0"/>
        </w:rPr>
      </w:pPr>
      <w:bookmarkStart w:id="24" w:name="_Toc517588116"/>
      <w:bookmarkStart w:id="25" w:name="_Toc517588246"/>
      <w:bookmarkStart w:id="26" w:name="_Toc518096095"/>
      <w:r>
        <w:rPr>
          <w:rStyle w:val="CharSectno"/>
        </w:rPr>
        <w:t>9</w:t>
      </w:r>
      <w:r>
        <w:rPr>
          <w:snapToGrid w:val="0"/>
        </w:rPr>
        <w:t>.</w:t>
      </w:r>
      <w:r>
        <w:rPr>
          <w:snapToGrid w:val="0"/>
        </w:rPr>
        <w:tab/>
        <w:t>Dismissal of members</w:t>
      </w:r>
      <w:bookmarkEnd w:id="24"/>
      <w:bookmarkEnd w:id="25"/>
      <w:bookmarkEnd w:id="26"/>
      <w:r>
        <w:rPr>
          <w:snapToGrid w:val="0"/>
        </w:rPr>
        <w:t xml:space="preserve"> </w:t>
      </w:r>
    </w:p>
    <w:p>
      <w:pPr>
        <w:pStyle w:val="Subsection"/>
        <w:rPr>
          <w:snapToGrid w:val="0"/>
        </w:rPr>
      </w:pPr>
      <w:r>
        <w:rPr>
          <w:snapToGrid w:val="0"/>
        </w:rPr>
        <w:tab/>
      </w:r>
      <w:r>
        <w:rPr>
          <w:snapToGrid w:val="0"/>
        </w:rPr>
        <w:tab/>
        <w:t>The Governor may terminate the appointment of a member for inability, inefficiency, or misbehaviour.</w:t>
      </w:r>
    </w:p>
    <w:p>
      <w:pPr>
        <w:pStyle w:val="Heading5"/>
        <w:rPr>
          <w:snapToGrid w:val="0"/>
        </w:rPr>
      </w:pPr>
      <w:bookmarkStart w:id="27" w:name="_Toc517588117"/>
      <w:bookmarkStart w:id="28" w:name="_Toc517588247"/>
      <w:bookmarkStart w:id="29" w:name="_Toc518096096"/>
      <w:r>
        <w:rPr>
          <w:rStyle w:val="CharSectno"/>
        </w:rPr>
        <w:t>10</w:t>
      </w:r>
      <w:r>
        <w:rPr>
          <w:snapToGrid w:val="0"/>
        </w:rPr>
        <w:t>.</w:t>
      </w:r>
      <w:r>
        <w:rPr>
          <w:snapToGrid w:val="0"/>
        </w:rPr>
        <w:tab/>
        <w:t>Vacation of office</w:t>
      </w:r>
      <w:bookmarkEnd w:id="27"/>
      <w:bookmarkEnd w:id="28"/>
      <w:bookmarkEnd w:id="29"/>
      <w:r>
        <w:rPr>
          <w:snapToGrid w:val="0"/>
        </w:rPr>
        <w:t xml:space="preserve"> </w:t>
      </w:r>
    </w:p>
    <w:p>
      <w:pPr>
        <w:pStyle w:val="Subsection"/>
        <w:rPr>
          <w:snapToGrid w:val="0"/>
        </w:rPr>
      </w:pPr>
      <w:r>
        <w:rPr>
          <w:snapToGrid w:val="0"/>
        </w:rPr>
        <w:tab/>
      </w:r>
      <w:r>
        <w:rPr>
          <w:snapToGrid w:val="0"/>
        </w:rPr>
        <w:tab/>
        <w:t>If a member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his office by writing under his hand delivered to the Minister;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is an undischarged bankrupt or has his affairs under liquidation by arrangement with his creditors;</w:t>
      </w:r>
    </w:p>
    <w:p>
      <w:pPr>
        <w:pStyle w:val="Indenta"/>
        <w:rPr>
          <w:snapToGrid w:val="0"/>
        </w:rPr>
      </w:pPr>
      <w:r>
        <w:rPr>
          <w:snapToGrid w:val="0"/>
        </w:rPr>
        <w:tab/>
        <w:t>(e)</w:t>
      </w:r>
      <w:r>
        <w:rPr>
          <w:snapToGrid w:val="0"/>
        </w:rPr>
        <w:tab/>
        <w:t>is convicted of an indictable offence;</w:t>
      </w:r>
    </w:p>
    <w:p>
      <w:pPr>
        <w:pStyle w:val="Indenta"/>
        <w:rPr>
          <w:snapToGrid w:val="0"/>
        </w:rPr>
      </w:pPr>
      <w:r>
        <w:rPr>
          <w:snapToGrid w:val="0"/>
        </w:rPr>
        <w:tab/>
        <w:t>(f)</w:t>
      </w:r>
      <w:r>
        <w:rPr>
          <w:snapToGrid w:val="0"/>
        </w:rPr>
        <w:tab/>
        <w:t>is absent without leave of the Authority for more than 3 consecutive meetings of the Authority;</w:t>
      </w:r>
    </w:p>
    <w:p>
      <w:pPr>
        <w:pStyle w:val="Indenta"/>
        <w:rPr>
          <w:snapToGrid w:val="0"/>
        </w:rPr>
      </w:pPr>
      <w:r>
        <w:rPr>
          <w:snapToGrid w:val="0"/>
        </w:rPr>
        <w:tab/>
        <w:t>(g)</w:t>
      </w:r>
      <w:r>
        <w:rPr>
          <w:snapToGrid w:val="0"/>
        </w:rPr>
        <w:tab/>
        <w:t>has his appointment terminated under section 9; or</w:t>
      </w:r>
    </w:p>
    <w:p>
      <w:pPr>
        <w:pStyle w:val="Indenta"/>
        <w:rPr>
          <w:snapToGrid w:val="0"/>
        </w:rPr>
      </w:pPr>
      <w:r>
        <w:rPr>
          <w:snapToGrid w:val="0"/>
        </w:rPr>
        <w:tab/>
        <w:t>(h)</w:t>
      </w:r>
      <w:r>
        <w:rPr>
          <w:snapToGrid w:val="0"/>
        </w:rPr>
        <w:tab/>
        <w:t>being a medical practitioner at the time of his appointment ceases to be one,</w:t>
      </w:r>
    </w:p>
    <w:p>
      <w:pPr>
        <w:pStyle w:val="Subsection"/>
        <w:rPr>
          <w:snapToGrid w:val="0"/>
        </w:rPr>
      </w:pPr>
      <w:r>
        <w:rPr>
          <w:snapToGrid w:val="0"/>
        </w:rPr>
        <w:tab/>
      </w:r>
      <w:r>
        <w:rPr>
          <w:snapToGrid w:val="0"/>
        </w:rPr>
        <w:tab/>
        <w:t>his office shall become vacant and shall be filled as a casual vacancy in accordance with section 11.</w:t>
      </w:r>
    </w:p>
    <w:p>
      <w:pPr>
        <w:pStyle w:val="Footnotesection"/>
      </w:pPr>
      <w:r>
        <w:tab/>
        <w:t>[Section 10 amended by No. 24 of 1990 s.123.]</w:t>
      </w:r>
    </w:p>
    <w:p>
      <w:pPr>
        <w:pStyle w:val="Heading5"/>
        <w:rPr>
          <w:snapToGrid w:val="0"/>
        </w:rPr>
      </w:pPr>
      <w:bookmarkStart w:id="30" w:name="_Toc517588118"/>
      <w:bookmarkStart w:id="31" w:name="_Toc517588248"/>
      <w:bookmarkStart w:id="32" w:name="_Toc518096097"/>
      <w:r>
        <w:rPr>
          <w:rStyle w:val="CharSectno"/>
        </w:rPr>
        <w:t>11</w:t>
      </w:r>
      <w:r>
        <w:rPr>
          <w:snapToGrid w:val="0"/>
        </w:rPr>
        <w:t>.</w:t>
      </w:r>
      <w:r>
        <w:rPr>
          <w:snapToGrid w:val="0"/>
        </w:rPr>
        <w:tab/>
        <w:t>Casual vacancy</w:t>
      </w:r>
      <w:bookmarkEnd w:id="30"/>
      <w:bookmarkEnd w:id="31"/>
      <w:bookmarkEnd w:id="32"/>
      <w:r>
        <w:rPr>
          <w:snapToGrid w:val="0"/>
        </w:rPr>
        <w:t xml:space="preserve"> </w:t>
      </w:r>
    </w:p>
    <w:p>
      <w:pPr>
        <w:pStyle w:val="Subsection"/>
        <w:rPr>
          <w:snapToGrid w:val="0"/>
        </w:rPr>
      </w:pPr>
      <w:r>
        <w:rPr>
          <w:snapToGrid w:val="0"/>
        </w:rPr>
        <w:tab/>
      </w:r>
      <w:r>
        <w:rPr>
          <w:snapToGrid w:val="0"/>
        </w:rPr>
        <w:tab/>
        <w:t>Where a casual vacancy occurs in the office of a member the vacancy may be filled by such person as the Governor thinks fit, and the person who fills the vacancy shall, subject to this Act, hold office as member for the residue of his predecessor’s term of office, but, if by reason of the vacancy there is no member who is a medical practitioner, the person who fills the vacancy shall be a medical practitioner.</w:t>
      </w:r>
    </w:p>
    <w:p>
      <w:pPr>
        <w:pStyle w:val="Heading5"/>
        <w:rPr>
          <w:snapToGrid w:val="0"/>
        </w:rPr>
      </w:pPr>
      <w:bookmarkStart w:id="33" w:name="_Toc517588119"/>
      <w:bookmarkStart w:id="34" w:name="_Toc517588249"/>
      <w:bookmarkStart w:id="35" w:name="_Toc518096098"/>
      <w:r>
        <w:rPr>
          <w:rStyle w:val="CharSectno"/>
        </w:rPr>
        <w:t>12</w:t>
      </w:r>
      <w:r>
        <w:rPr>
          <w:snapToGrid w:val="0"/>
        </w:rPr>
        <w:t>.</w:t>
      </w:r>
      <w:r>
        <w:rPr>
          <w:snapToGrid w:val="0"/>
        </w:rPr>
        <w:tab/>
        <w:t>Acting members</w:t>
      </w:r>
      <w:bookmarkEnd w:id="33"/>
      <w:bookmarkEnd w:id="34"/>
      <w:bookmarkEnd w:id="35"/>
      <w:r>
        <w:rPr>
          <w:snapToGrid w:val="0"/>
        </w:rPr>
        <w:t xml:space="preserve"> </w:t>
      </w:r>
    </w:p>
    <w:p>
      <w:pPr>
        <w:pStyle w:val="Subsection"/>
        <w:rPr>
          <w:snapToGrid w:val="0"/>
        </w:rPr>
      </w:pPr>
      <w:r>
        <w:rPr>
          <w:snapToGrid w:val="0"/>
        </w:rPr>
        <w:tab/>
        <w:t>(1)</w:t>
      </w:r>
      <w:r>
        <w:rPr>
          <w:snapToGrid w:val="0"/>
        </w:rPr>
        <w:tab/>
        <w:t>Where the Minister is satisfied that a member is prevented by illness, absence, or other reasonable cause from performing his duties as a member, the Minister may appoint such person as the Minister thinks fit to be an acting member to act for the member and that person, while he so acts, shall be deemed to be a member, but, if the member is the only member who is a medical practitioner, the person appointed to act for him shall be a medical practitioner.</w:t>
      </w:r>
    </w:p>
    <w:p>
      <w:pPr>
        <w:pStyle w:val="Subsection"/>
        <w:rPr>
          <w:snapToGrid w:val="0"/>
        </w:rPr>
      </w:pPr>
      <w:r>
        <w:rPr>
          <w:snapToGrid w:val="0"/>
        </w:rPr>
        <w:tab/>
        <w:t>(2)</w:t>
      </w:r>
      <w:r>
        <w:rPr>
          <w:snapToGrid w:val="0"/>
        </w:rPr>
        <w:tab/>
        <w:t>The Minister may at any time terminate the appointment of an acting member.</w:t>
      </w:r>
    </w:p>
    <w:p>
      <w:pPr>
        <w:pStyle w:val="Heading5"/>
        <w:rPr>
          <w:snapToGrid w:val="0"/>
        </w:rPr>
      </w:pPr>
      <w:bookmarkStart w:id="36" w:name="_Toc517588120"/>
      <w:bookmarkStart w:id="37" w:name="_Toc517588250"/>
      <w:bookmarkStart w:id="38" w:name="_Toc518096099"/>
      <w:r>
        <w:rPr>
          <w:rStyle w:val="CharSectno"/>
        </w:rPr>
        <w:t>13</w:t>
      </w:r>
      <w:r>
        <w:rPr>
          <w:snapToGrid w:val="0"/>
        </w:rPr>
        <w:t>.</w:t>
      </w:r>
      <w:r>
        <w:rPr>
          <w:snapToGrid w:val="0"/>
        </w:rPr>
        <w:tab/>
        <w:t>Meetings of the Authority</w:t>
      </w:r>
      <w:bookmarkEnd w:id="36"/>
      <w:bookmarkEnd w:id="37"/>
      <w:bookmarkEnd w:id="38"/>
      <w:r>
        <w:rPr>
          <w:snapToGrid w:val="0"/>
        </w:rPr>
        <w:t xml:space="preserve"> </w:t>
      </w:r>
    </w:p>
    <w:p>
      <w:pPr>
        <w:pStyle w:val="Subsection"/>
        <w:rPr>
          <w:snapToGrid w:val="0"/>
        </w:rPr>
      </w:pPr>
      <w:r>
        <w:rPr>
          <w:snapToGrid w:val="0"/>
        </w:rPr>
        <w:tab/>
        <w:t>(1)</w:t>
      </w:r>
      <w:r>
        <w:rPr>
          <w:snapToGrid w:val="0"/>
        </w:rPr>
        <w:tab/>
        <w:t>The Authority shall hold such meetings as are necessary for the exercise of its functions.</w:t>
      </w:r>
    </w:p>
    <w:p>
      <w:pPr>
        <w:pStyle w:val="Subsection"/>
        <w:rPr>
          <w:snapToGrid w:val="0"/>
        </w:rPr>
      </w:pPr>
      <w:r>
        <w:rPr>
          <w:snapToGrid w:val="0"/>
        </w:rPr>
        <w:tab/>
        <w:t>(2)</w:t>
      </w:r>
      <w:r>
        <w:rPr>
          <w:snapToGrid w:val="0"/>
        </w:rPr>
        <w:tab/>
        <w:t>The Chairman, or if the Chairman is absent, or his office is vacant, the Deputy Chairman, may convene meetings of the Authority.</w:t>
      </w:r>
    </w:p>
    <w:p>
      <w:pPr>
        <w:pStyle w:val="Subsection"/>
        <w:rPr>
          <w:snapToGrid w:val="0"/>
        </w:rPr>
      </w:pPr>
      <w:r>
        <w:rPr>
          <w:snapToGrid w:val="0"/>
        </w:rPr>
        <w:tab/>
        <w:t>(3)</w:t>
      </w:r>
      <w:r>
        <w:rPr>
          <w:snapToGrid w:val="0"/>
        </w:rPr>
        <w:tab/>
        <w:t>If the Chairman is absent from a meeting of the Authority the Deputy Chairman shall preside at the meeting, and when doing so, shall have all the powers and duties of the Chairman.</w:t>
      </w:r>
    </w:p>
    <w:p>
      <w:pPr>
        <w:pStyle w:val="Subsection"/>
        <w:rPr>
          <w:snapToGrid w:val="0"/>
        </w:rPr>
      </w:pPr>
      <w:r>
        <w:rPr>
          <w:snapToGrid w:val="0"/>
        </w:rPr>
        <w:tab/>
        <w:t>(4)</w:t>
      </w:r>
      <w:r>
        <w:rPr>
          <w:snapToGrid w:val="0"/>
        </w:rPr>
        <w:tab/>
        <w:t>At a meeting of the Authority 2 members shall constitute a quorum.</w:t>
      </w:r>
    </w:p>
    <w:p>
      <w:pPr>
        <w:pStyle w:val="Subsection"/>
        <w:rPr>
          <w:snapToGrid w:val="0"/>
        </w:rPr>
      </w:pPr>
      <w:r>
        <w:rPr>
          <w:snapToGrid w:val="0"/>
        </w:rPr>
        <w:tab/>
        <w:t>(5)</w:t>
      </w:r>
      <w:r>
        <w:rPr>
          <w:snapToGrid w:val="0"/>
        </w:rPr>
        <w:tab/>
        <w:t xml:space="preserve">Subject to this Act, the Authority may regulate its procedure in such manner as it thinks fit. </w:t>
      </w:r>
    </w:p>
    <w:p>
      <w:pPr>
        <w:pStyle w:val="Heading5"/>
        <w:spacing w:before="120"/>
        <w:rPr>
          <w:snapToGrid w:val="0"/>
        </w:rPr>
      </w:pPr>
      <w:bookmarkStart w:id="39" w:name="_Toc517588121"/>
      <w:bookmarkStart w:id="40" w:name="_Toc517588251"/>
      <w:bookmarkStart w:id="41" w:name="_Toc518096100"/>
      <w:r>
        <w:rPr>
          <w:rStyle w:val="CharSectno"/>
        </w:rPr>
        <w:t>14</w:t>
      </w:r>
      <w:r>
        <w:rPr>
          <w:snapToGrid w:val="0"/>
        </w:rPr>
        <w:t>.</w:t>
      </w:r>
      <w:r>
        <w:rPr>
          <w:snapToGrid w:val="0"/>
        </w:rPr>
        <w:tab/>
        <w:t>Validity of acts of Authority</w:t>
      </w:r>
      <w:bookmarkEnd w:id="39"/>
      <w:bookmarkEnd w:id="40"/>
      <w:bookmarkEnd w:id="41"/>
      <w:r>
        <w:rPr>
          <w:snapToGrid w:val="0"/>
        </w:rPr>
        <w:t xml:space="preserve"> </w:t>
      </w:r>
    </w:p>
    <w:p>
      <w:pPr>
        <w:pStyle w:val="Subsection"/>
        <w:rPr>
          <w:snapToGrid w:val="0"/>
        </w:rPr>
      </w:pPr>
      <w:r>
        <w:rPr>
          <w:snapToGrid w:val="0"/>
        </w:rPr>
        <w:tab/>
      </w:r>
      <w:r>
        <w:rPr>
          <w:snapToGrid w:val="0"/>
        </w:rPr>
        <w:tab/>
        <w:t>No act, proceeding, or determination of the Authority shall be invalid on the ground only of any vacancy in the office of any member or of any defect in the appointment of any member or in the appointment of any acting member.</w:t>
      </w:r>
    </w:p>
    <w:p>
      <w:pPr>
        <w:pStyle w:val="Heading5"/>
        <w:spacing w:before="120"/>
        <w:rPr>
          <w:snapToGrid w:val="0"/>
        </w:rPr>
      </w:pPr>
      <w:bookmarkStart w:id="42" w:name="_Toc517588122"/>
      <w:bookmarkStart w:id="43" w:name="_Toc517588252"/>
      <w:bookmarkStart w:id="44" w:name="_Toc518096101"/>
      <w:r>
        <w:rPr>
          <w:rStyle w:val="CharSectno"/>
        </w:rPr>
        <w:t>15</w:t>
      </w:r>
      <w:r>
        <w:rPr>
          <w:snapToGrid w:val="0"/>
        </w:rPr>
        <w:t>.</w:t>
      </w:r>
      <w:r>
        <w:rPr>
          <w:snapToGrid w:val="0"/>
        </w:rPr>
        <w:tab/>
        <w:t>Remuneration of members</w:t>
      </w:r>
      <w:bookmarkEnd w:id="42"/>
      <w:bookmarkEnd w:id="43"/>
      <w:bookmarkEnd w:id="44"/>
      <w:r>
        <w:rPr>
          <w:snapToGrid w:val="0"/>
        </w:rPr>
        <w:t xml:space="preserve"> </w:t>
      </w:r>
    </w:p>
    <w:p>
      <w:pPr>
        <w:pStyle w:val="Subsection"/>
        <w:rPr>
          <w:snapToGrid w:val="0"/>
        </w:rPr>
      </w:pPr>
      <w:r>
        <w:rPr>
          <w:snapToGrid w:val="0"/>
        </w:rPr>
        <w:tab/>
      </w:r>
      <w:r>
        <w:rPr>
          <w:snapToGrid w:val="0"/>
        </w:rPr>
        <w:tab/>
        <w:t>The members shall be paid such fees and allowances as may from time to time be fixed by the Governor.</w:t>
      </w:r>
    </w:p>
    <w:p>
      <w:pPr>
        <w:pStyle w:val="Ednotesection"/>
      </w:pPr>
      <w:r>
        <w:t>[</w:t>
      </w:r>
      <w:r>
        <w:rPr>
          <w:b/>
        </w:rPr>
        <w:t>16.</w:t>
      </w:r>
      <w:r>
        <w:t xml:space="preserve"> </w:t>
      </w:r>
      <w:r>
        <w:tab/>
      </w:r>
      <w:r>
        <w:tab/>
        <w:t xml:space="preserve">Repealed by No. 18 of 1984 s.3.] </w:t>
      </w:r>
    </w:p>
    <w:p>
      <w:pPr>
        <w:pStyle w:val="Heading3"/>
        <w:rPr>
          <w:snapToGrid w:val="0"/>
        </w:rPr>
      </w:pPr>
      <w:r>
        <w:rPr>
          <w:rStyle w:val="CharDivNo"/>
        </w:rPr>
        <w:t>Division 2</w:t>
      </w:r>
      <w:r>
        <w:rPr>
          <w:snapToGrid w:val="0"/>
        </w:rPr>
        <w:t> — </w:t>
      </w:r>
      <w:r>
        <w:rPr>
          <w:rStyle w:val="CharDivText"/>
        </w:rPr>
        <w:t xml:space="preserve">General functions, powers, and duties </w:t>
      </w:r>
    </w:p>
    <w:p>
      <w:pPr>
        <w:pStyle w:val="Heading5"/>
        <w:rPr>
          <w:snapToGrid w:val="0"/>
        </w:rPr>
      </w:pPr>
      <w:bookmarkStart w:id="45" w:name="_Toc517588123"/>
      <w:bookmarkStart w:id="46" w:name="_Toc517588253"/>
      <w:bookmarkStart w:id="47" w:name="_Toc518096102"/>
      <w:r>
        <w:rPr>
          <w:rStyle w:val="CharSectno"/>
        </w:rPr>
        <w:t>17</w:t>
      </w:r>
      <w:r>
        <w:rPr>
          <w:snapToGrid w:val="0"/>
        </w:rPr>
        <w:t>.</w:t>
      </w:r>
      <w:r>
        <w:rPr>
          <w:snapToGrid w:val="0"/>
        </w:rPr>
        <w:tab/>
        <w:t>Administration of this Act</w:t>
      </w:r>
      <w:bookmarkEnd w:id="45"/>
      <w:bookmarkEnd w:id="46"/>
      <w:bookmarkEnd w:id="47"/>
      <w:r>
        <w:rPr>
          <w:snapToGrid w:val="0"/>
        </w:rPr>
        <w:t xml:space="preserve"> </w:t>
      </w:r>
    </w:p>
    <w:p>
      <w:pPr>
        <w:pStyle w:val="Subsection"/>
        <w:rPr>
          <w:snapToGrid w:val="0"/>
        </w:rPr>
      </w:pPr>
      <w:r>
        <w:rPr>
          <w:snapToGrid w:val="0"/>
        </w:rPr>
        <w:tab/>
        <w:t>(1)</w:t>
      </w:r>
      <w:r>
        <w:rPr>
          <w:snapToGrid w:val="0"/>
        </w:rPr>
        <w:tab/>
        <w:t>Subject to subsection (2), the Authority shall carry out the administration of this Act.</w:t>
      </w:r>
    </w:p>
    <w:p>
      <w:pPr>
        <w:pStyle w:val="Subsection"/>
        <w:rPr>
          <w:snapToGrid w:val="0"/>
        </w:rPr>
      </w:pPr>
      <w:r>
        <w:rPr>
          <w:snapToGrid w:val="0"/>
        </w:rPr>
        <w:tab/>
        <w:t>(2)</w:t>
      </w:r>
      <w:r>
        <w:rPr>
          <w:snapToGrid w:val="0"/>
        </w:rPr>
        <w:tab/>
        <w:t>The Minister may from time to time give directions to the Authority with respect to its functions, powers, and duties, either generally or with respect to a particular matter, and the Authority shall give effect to those directions.</w:t>
      </w:r>
    </w:p>
    <w:p>
      <w:pPr>
        <w:pStyle w:val="Heading5"/>
        <w:keepNext w:val="0"/>
        <w:keepLines w:val="0"/>
        <w:rPr>
          <w:snapToGrid w:val="0"/>
        </w:rPr>
      </w:pPr>
      <w:bookmarkStart w:id="48" w:name="_Toc517588124"/>
      <w:bookmarkStart w:id="49" w:name="_Toc517588254"/>
      <w:bookmarkStart w:id="50" w:name="_Toc518096103"/>
      <w:r>
        <w:rPr>
          <w:rStyle w:val="CharSectno"/>
        </w:rPr>
        <w:t>18</w:t>
      </w:r>
      <w:r>
        <w:rPr>
          <w:snapToGrid w:val="0"/>
        </w:rPr>
        <w:t>.</w:t>
      </w:r>
      <w:r>
        <w:rPr>
          <w:snapToGrid w:val="0"/>
        </w:rPr>
        <w:tab/>
        <w:t>Functions of the Authority</w:t>
      </w:r>
      <w:bookmarkEnd w:id="48"/>
      <w:bookmarkEnd w:id="49"/>
      <w:bookmarkEnd w:id="50"/>
      <w:r>
        <w:rPr>
          <w:snapToGrid w:val="0"/>
        </w:rPr>
        <w:t xml:space="preserve"> </w:t>
      </w:r>
    </w:p>
    <w:p>
      <w:pPr>
        <w:pStyle w:val="Subsection"/>
        <w:rPr>
          <w:snapToGrid w:val="0"/>
        </w:rPr>
      </w:pPr>
      <w:r>
        <w:rPr>
          <w:snapToGrid w:val="0"/>
        </w:rPr>
        <w:tab/>
      </w:r>
      <w:r>
        <w:rPr>
          <w:snapToGrid w:val="0"/>
        </w:rPr>
        <w:tab/>
        <w:t>The functions of the Authority include the following — </w:t>
      </w:r>
    </w:p>
    <w:p>
      <w:pPr>
        <w:pStyle w:val="Indenta"/>
        <w:keepLines w:val="0"/>
        <w:rPr>
          <w:snapToGrid w:val="0"/>
        </w:rPr>
      </w:pPr>
      <w:r>
        <w:rPr>
          <w:snapToGrid w:val="0"/>
        </w:rPr>
        <w:tab/>
        <w:t>(a)</w:t>
      </w:r>
      <w:r>
        <w:rPr>
          <w:snapToGrid w:val="0"/>
        </w:rPr>
        <w:tab/>
        <w:t>to provide assessment, treatment, management, care, and rehabilitation of persons suffering from alcohol or drug abuse, and to subsidise and otherwise support, as the Authority thinks fit, any other persons or organizations providing any one or more of those things;</w:t>
      </w:r>
    </w:p>
    <w:p>
      <w:pPr>
        <w:pStyle w:val="Indenta"/>
        <w:rPr>
          <w:snapToGrid w:val="0"/>
          <w:spacing w:val="-6"/>
        </w:rPr>
      </w:pPr>
      <w:r>
        <w:rPr>
          <w:snapToGrid w:val="0"/>
          <w:spacing w:val="-6"/>
        </w:rPr>
        <w:tab/>
        <w:t>(b)</w:t>
      </w:r>
      <w:r>
        <w:rPr>
          <w:snapToGrid w:val="0"/>
          <w:spacing w:val="-6"/>
        </w:rPr>
        <w:tab/>
        <w:t>to establish and maintain premises for the assessment, treatment, management, care, and rehabilitation of persons suffering from alcohol or drug abuse, and to subsidise and otherwise support, as the Authority thinks fit, other persons and organizations establishing or maintaining premises for any one or more of those purposes;</w:t>
      </w:r>
    </w:p>
    <w:p>
      <w:pPr>
        <w:pStyle w:val="Indenta"/>
        <w:rPr>
          <w:snapToGrid w:val="0"/>
        </w:rPr>
      </w:pPr>
      <w:r>
        <w:rPr>
          <w:snapToGrid w:val="0"/>
        </w:rPr>
        <w:tab/>
        <w:t>(c)</w:t>
      </w:r>
      <w:r>
        <w:rPr>
          <w:snapToGrid w:val="0"/>
        </w:rPr>
        <w:tab/>
        <w:t>to establish and maintain accommodation for persons for whom assessment, treatment, management, care, or rehabilitation services are provided under this Act and to subsidise and otherwise support, as the Authority thinks fit, other persons and organizations establishing or maintaining such accommodation;</w:t>
      </w:r>
    </w:p>
    <w:p>
      <w:pPr>
        <w:pStyle w:val="Indenta"/>
        <w:rPr>
          <w:snapToGrid w:val="0"/>
        </w:rPr>
      </w:pPr>
      <w:r>
        <w:rPr>
          <w:snapToGrid w:val="0"/>
        </w:rPr>
        <w:tab/>
        <w:t>(d)</w:t>
      </w:r>
      <w:r>
        <w:rPr>
          <w:snapToGrid w:val="0"/>
        </w:rPr>
        <w:tab/>
        <w:t>to provide such other facilities and services as the Authority considers necessary or desirable for the purposes of this Act;</w:t>
      </w:r>
    </w:p>
    <w:p>
      <w:pPr>
        <w:pStyle w:val="Indenta"/>
        <w:rPr>
          <w:snapToGrid w:val="0"/>
        </w:rPr>
      </w:pPr>
      <w:r>
        <w:rPr>
          <w:snapToGrid w:val="0"/>
        </w:rPr>
        <w:tab/>
        <w:t>(e)</w:t>
      </w:r>
      <w:r>
        <w:rPr>
          <w:snapToGrid w:val="0"/>
        </w:rPr>
        <w:tab/>
        <w:t>to determine the persons or classes of persons for whom the Authority may provide facilities or services under this Act, or in respect of whom the Authority may subsidise or otherwise support other persons and organizations providing facilities and services consistent with the purposes of this Act;</w:t>
      </w:r>
    </w:p>
    <w:p>
      <w:pPr>
        <w:pStyle w:val="Indenta"/>
        <w:rPr>
          <w:snapToGrid w:val="0"/>
        </w:rPr>
      </w:pPr>
      <w:r>
        <w:rPr>
          <w:snapToGrid w:val="0"/>
        </w:rPr>
        <w:tab/>
        <w:t>(f)</w:t>
      </w:r>
      <w:r>
        <w:rPr>
          <w:snapToGrid w:val="0"/>
        </w:rPr>
        <w:tab/>
        <w:t>to co</w:t>
      </w:r>
      <w:r>
        <w:rPr>
          <w:snapToGrid w:val="0"/>
        </w:rPr>
        <w:noBreakHyphen/>
        <w:t>ordinate, promote, and subsidise, in Western Australia, research into and education on the causation, prevention, and treatment of alcohol and drug abuse;</w:t>
      </w:r>
    </w:p>
    <w:p>
      <w:pPr>
        <w:pStyle w:val="Indenta"/>
        <w:keepLines w:val="0"/>
        <w:rPr>
          <w:snapToGrid w:val="0"/>
        </w:rPr>
      </w:pPr>
      <w:r>
        <w:rPr>
          <w:snapToGrid w:val="0"/>
        </w:rPr>
        <w:tab/>
        <w:t>(g)</w:t>
      </w:r>
      <w:r>
        <w:rPr>
          <w:snapToGrid w:val="0"/>
        </w:rPr>
        <w:tab/>
        <w:t>to inquire into the respective provisions of the laws of this State with respect to offences in which the use of alcohol or drugs, or both, is an element, and with respect to the penalties for those offences, to consider the desirability or otherwise, in the community interest, of repealing or modifying any of those provisions, and to make such recommendations thereon to the Minister and the Attorney General as the Authority thinks fit;</w:t>
      </w:r>
    </w:p>
    <w:p>
      <w:pPr>
        <w:pStyle w:val="Indenta"/>
        <w:rPr>
          <w:snapToGrid w:val="0"/>
          <w:spacing w:val="-8"/>
        </w:rPr>
      </w:pPr>
      <w:r>
        <w:rPr>
          <w:snapToGrid w:val="0"/>
          <w:spacing w:val="-8"/>
        </w:rPr>
        <w:tab/>
        <w:t>(h)</w:t>
      </w:r>
      <w:r>
        <w:rPr>
          <w:snapToGrid w:val="0"/>
          <w:spacing w:val="-8"/>
        </w:rPr>
        <w:tab/>
        <w:t>to co</w:t>
      </w:r>
      <w:r>
        <w:rPr>
          <w:snapToGrid w:val="0"/>
          <w:spacing w:val="-8"/>
        </w:rPr>
        <w:noBreakHyphen/>
        <w:t>operate and enter into agreement with other persons and organizations, in this State or otherwise, to such extent as may be necessary for the purposes of this Act; and</w:t>
      </w:r>
    </w:p>
    <w:p>
      <w:pPr>
        <w:pStyle w:val="Indenta"/>
        <w:rPr>
          <w:snapToGrid w:val="0"/>
          <w:spacing w:val="-8"/>
        </w:rPr>
      </w:pPr>
      <w:r>
        <w:rPr>
          <w:snapToGrid w:val="0"/>
          <w:spacing w:val="-8"/>
        </w:rPr>
        <w:tab/>
        <w:t>(i)</w:t>
      </w:r>
      <w:r>
        <w:rPr>
          <w:snapToGrid w:val="0"/>
          <w:spacing w:val="-8"/>
        </w:rPr>
        <w:tab/>
        <w:t>such other functions as are prescribed by any other Act or regulation, local law, by</w:t>
      </w:r>
      <w:r>
        <w:rPr>
          <w:snapToGrid w:val="0"/>
          <w:spacing w:val="-8"/>
        </w:rPr>
        <w:noBreakHyphen/>
        <w:t>law, or rule made under any other Act.</w:t>
      </w:r>
    </w:p>
    <w:p>
      <w:pPr>
        <w:pStyle w:val="Footnotesection"/>
      </w:pPr>
      <w:r>
        <w:tab/>
        <w:t xml:space="preserve">[Section 18 amended by No. 14 of 1996 s.4.] </w:t>
      </w:r>
    </w:p>
    <w:p>
      <w:pPr>
        <w:pStyle w:val="Heading5"/>
        <w:spacing w:before="120"/>
        <w:rPr>
          <w:snapToGrid w:val="0"/>
        </w:rPr>
      </w:pPr>
      <w:bookmarkStart w:id="51" w:name="_Toc517588125"/>
      <w:bookmarkStart w:id="52" w:name="_Toc517588255"/>
      <w:bookmarkStart w:id="53" w:name="_Toc518096104"/>
      <w:r>
        <w:rPr>
          <w:rStyle w:val="CharSectno"/>
        </w:rPr>
        <w:t>19</w:t>
      </w:r>
      <w:r>
        <w:rPr>
          <w:snapToGrid w:val="0"/>
        </w:rPr>
        <w:t>.</w:t>
      </w:r>
      <w:r>
        <w:rPr>
          <w:snapToGrid w:val="0"/>
        </w:rPr>
        <w:tab/>
        <w:t>Powers</w:t>
      </w:r>
      <w:bookmarkEnd w:id="51"/>
      <w:bookmarkEnd w:id="52"/>
      <w:bookmarkEnd w:id="53"/>
      <w:r>
        <w:rPr>
          <w:snapToGrid w:val="0"/>
        </w:rPr>
        <w:t xml:space="preserve"> </w:t>
      </w:r>
    </w:p>
    <w:p>
      <w:pPr>
        <w:pStyle w:val="Subsection"/>
        <w:rPr>
          <w:snapToGrid w:val="0"/>
        </w:rPr>
      </w:pPr>
      <w:r>
        <w:rPr>
          <w:snapToGrid w:val="0"/>
        </w:rPr>
        <w:tab/>
      </w:r>
      <w:r>
        <w:rPr>
          <w:snapToGrid w:val="0"/>
        </w:rPr>
        <w:tab/>
        <w:t>The Authority may do all such acts and things as may be necessary to enable it to perform its functions effectively.</w:t>
      </w:r>
    </w:p>
    <w:p>
      <w:pPr>
        <w:pStyle w:val="Ednotesection"/>
        <w:spacing w:before="120"/>
        <w:ind w:left="890" w:hanging="890"/>
      </w:pPr>
      <w:r>
        <w:t>[</w:t>
      </w:r>
      <w:r>
        <w:rPr>
          <w:b/>
        </w:rPr>
        <w:t>20.</w:t>
      </w:r>
      <w:r>
        <w:t xml:space="preserve"> </w:t>
      </w:r>
      <w:r>
        <w:tab/>
      </w:r>
      <w:r>
        <w:tab/>
        <w:t xml:space="preserve">Repealed by No. 98 of 1985 s.3.] </w:t>
      </w:r>
    </w:p>
    <w:p>
      <w:pPr>
        <w:pStyle w:val="Heading3"/>
        <w:spacing w:before="120"/>
        <w:rPr>
          <w:snapToGrid w:val="0"/>
        </w:rPr>
      </w:pPr>
      <w:r>
        <w:rPr>
          <w:rStyle w:val="CharDivNo"/>
        </w:rPr>
        <w:t>Division 3</w:t>
      </w:r>
      <w:r>
        <w:rPr>
          <w:snapToGrid w:val="0"/>
        </w:rPr>
        <w:t> — </w:t>
      </w:r>
      <w:r>
        <w:rPr>
          <w:rStyle w:val="CharDivText"/>
        </w:rPr>
        <w:t xml:space="preserve">Staff </w:t>
      </w:r>
    </w:p>
    <w:p>
      <w:pPr>
        <w:pStyle w:val="Heading5"/>
        <w:spacing w:before="120"/>
        <w:rPr>
          <w:snapToGrid w:val="0"/>
        </w:rPr>
      </w:pPr>
      <w:bookmarkStart w:id="54" w:name="_Toc517588126"/>
      <w:bookmarkStart w:id="55" w:name="_Toc517588256"/>
      <w:bookmarkStart w:id="56" w:name="_Toc518096105"/>
      <w:r>
        <w:rPr>
          <w:rStyle w:val="CharSectno"/>
        </w:rPr>
        <w:t>21</w:t>
      </w:r>
      <w:r>
        <w:rPr>
          <w:snapToGrid w:val="0"/>
        </w:rPr>
        <w:t>.</w:t>
      </w:r>
      <w:r>
        <w:rPr>
          <w:snapToGrid w:val="0"/>
        </w:rPr>
        <w:tab/>
        <w:t>Officers and wages employees</w:t>
      </w:r>
      <w:bookmarkEnd w:id="54"/>
      <w:bookmarkEnd w:id="55"/>
      <w:bookmarkEnd w:id="56"/>
      <w:r>
        <w:rPr>
          <w:snapToGrid w:val="0"/>
        </w:rPr>
        <w:t xml:space="preserve"> </w:t>
      </w:r>
    </w:p>
    <w:p>
      <w:pPr>
        <w:pStyle w:val="Subsection"/>
        <w:spacing w:before="80"/>
        <w:rPr>
          <w:snapToGrid w:val="0"/>
        </w:rPr>
      </w:pPr>
      <w:r>
        <w:rPr>
          <w:snapToGrid w:val="0"/>
        </w:rPr>
        <w:tab/>
        <w:t>(1)</w:t>
      </w:r>
      <w:r>
        <w:rPr>
          <w:snapToGrid w:val="0"/>
        </w:rPr>
        <w:tab/>
        <w:t>For the purposes of this Act and subject to it, the Authority — </w:t>
      </w:r>
    </w:p>
    <w:p>
      <w:pPr>
        <w:pStyle w:val="Indenta"/>
        <w:rPr>
          <w:snapToGrid w:val="0"/>
        </w:rPr>
      </w:pPr>
      <w:r>
        <w:rPr>
          <w:snapToGrid w:val="0"/>
        </w:rPr>
        <w:tab/>
        <w:t>(a)</w:t>
      </w:r>
      <w:r>
        <w:rPr>
          <w:snapToGrid w:val="0"/>
        </w:rPr>
        <w:tab/>
        <w:t>may appoint such officers of the Authority as the Authority thinks fit; and</w:t>
      </w:r>
    </w:p>
    <w:p>
      <w:pPr>
        <w:pStyle w:val="Indenta"/>
        <w:rPr>
          <w:snapToGrid w:val="0"/>
        </w:rPr>
      </w:pPr>
      <w:r>
        <w:rPr>
          <w:snapToGrid w:val="0"/>
        </w:rPr>
        <w:tab/>
        <w:t>(b)</w:t>
      </w:r>
      <w:r>
        <w:rPr>
          <w:snapToGrid w:val="0"/>
        </w:rPr>
        <w:tab/>
        <w:t>may appoint such wages employees of the Authority as the Authority thinks fit.</w:t>
      </w:r>
    </w:p>
    <w:p>
      <w:pPr>
        <w:pStyle w:val="Subsection"/>
        <w:spacing w:before="80"/>
        <w:rPr>
          <w:snapToGrid w:val="0"/>
          <w:spacing w:val="-6"/>
        </w:rPr>
      </w:pPr>
      <w:r>
        <w:rPr>
          <w:snapToGrid w:val="0"/>
          <w:spacing w:val="-6"/>
        </w:rPr>
        <w:tab/>
        <w:t>(2)</w:t>
      </w:r>
      <w:r>
        <w:rPr>
          <w:snapToGrid w:val="0"/>
          <w:spacing w:val="-6"/>
        </w:rPr>
        <w:tab/>
        <w:t xml:space="preserve">Subject to any relevant </w:t>
      </w:r>
      <w:r>
        <w:rPr>
          <w:snapToGrid w:val="0"/>
        </w:rPr>
        <w:t>award</w:t>
      </w:r>
      <w:r>
        <w:rPr>
          <w:snapToGrid w:val="0"/>
          <w:spacing w:val="-6"/>
        </w:rPr>
        <w:t xml:space="preserve"> or industrial agreement under the </w:t>
      </w:r>
      <w:r>
        <w:rPr>
          <w:i/>
          <w:snapToGrid w:val="0"/>
          <w:spacing w:val="-6"/>
        </w:rPr>
        <w:t xml:space="preserve">Industrial Arbitration Act 1912 </w:t>
      </w:r>
      <w:r>
        <w:rPr>
          <w:i/>
          <w:snapToGrid w:val="0"/>
          <w:spacing w:val="-6"/>
          <w:vertAlign w:val="superscript"/>
        </w:rPr>
        <w:t>2</w:t>
      </w:r>
      <w:r>
        <w:rPr>
          <w:snapToGrid w:val="0"/>
          <w:spacing w:val="-6"/>
        </w:rPr>
        <w:t>, the terms and conditions of appointment and employment of officers and wages employees of the Authority, including the salary and wages payable, shall be such terms and conditions as the Authority, with the approval of the Public Service Board, determines.</w:t>
      </w:r>
    </w:p>
    <w:p>
      <w:pPr>
        <w:pStyle w:val="Subsection"/>
        <w:spacing w:before="80"/>
        <w:rPr>
          <w:snapToGrid w:val="0"/>
        </w:rPr>
      </w:pPr>
      <w:r>
        <w:rPr>
          <w:snapToGrid w:val="0"/>
        </w:rPr>
        <w:tab/>
        <w:t>(3)</w:t>
      </w:r>
      <w:r>
        <w:rPr>
          <w:snapToGrid w:val="0"/>
        </w:rPr>
        <w:tab/>
        <w:t>Where a person so appointed was, immediately before being so appointed, an officer or a wages employee in the service of a department of the Public Service of the State — </w:t>
      </w:r>
    </w:p>
    <w:p>
      <w:pPr>
        <w:pStyle w:val="Indenta"/>
        <w:keepLines w:val="0"/>
        <w:rPr>
          <w:snapToGrid w:val="0"/>
        </w:rPr>
      </w:pPr>
      <w:r>
        <w:rPr>
          <w:snapToGrid w:val="0"/>
        </w:rPr>
        <w:tab/>
        <w:t>(a)</w:t>
      </w:r>
      <w:r>
        <w:rPr>
          <w:snapToGrid w:val="0"/>
        </w:rPr>
        <w:tab/>
        <w:t xml:space="preserve">he retains his existing and any rights that may have accrued to him under the Act pursuant to which he was then serving, and, subject to section 22, in particular his rights if any under the </w:t>
      </w:r>
      <w:r>
        <w:rPr>
          <w:i/>
          <w:snapToGrid w:val="0"/>
        </w:rPr>
        <w:t>Superannuation and Family Benefits Act 1938</w:t>
      </w:r>
      <w:r>
        <w:rPr>
          <w:snapToGrid w:val="0"/>
        </w:rPr>
        <w:t>; and</w:t>
      </w:r>
    </w:p>
    <w:p>
      <w:pPr>
        <w:pStyle w:val="Indenta"/>
        <w:rPr>
          <w:snapToGrid w:val="0"/>
        </w:rPr>
      </w:pPr>
      <w:r>
        <w:rPr>
          <w:snapToGrid w:val="0"/>
        </w:rPr>
        <w:tab/>
        <w:t>(b)</w:t>
      </w:r>
      <w:r>
        <w:rPr>
          <w:snapToGrid w:val="0"/>
        </w:rPr>
        <w:tab/>
        <w:t>for the purpose of determining those rights his service as such an officer or a wages employee shall be taken into account as if it were service with the Authority.</w:t>
      </w:r>
    </w:p>
    <w:p>
      <w:pPr>
        <w:pStyle w:val="Subsection"/>
        <w:rPr>
          <w:snapToGrid w:val="0"/>
        </w:rPr>
      </w:pPr>
      <w:r>
        <w:rPr>
          <w:snapToGrid w:val="0"/>
        </w:rPr>
        <w:tab/>
        <w:t>(4)</w:t>
      </w:r>
      <w:r>
        <w:rPr>
          <w:snapToGrid w:val="0"/>
        </w:rPr>
        <w:tab/>
        <w:t xml:space="preserve">A person appointed under the provisions of this section is not a person appointed under Part 3 of the </w:t>
      </w:r>
      <w:r>
        <w:rPr>
          <w:i/>
          <w:snapToGrid w:val="0"/>
        </w:rPr>
        <w:t>Public Sector Management Act 1994</w:t>
      </w:r>
      <w:r>
        <w:rPr>
          <w:snapToGrid w:val="0"/>
        </w:rPr>
        <w:t xml:space="preserve">, and the provisions of the </w:t>
      </w:r>
      <w:r>
        <w:rPr>
          <w:i/>
          <w:snapToGrid w:val="0"/>
        </w:rPr>
        <w:t xml:space="preserve">Government Employees (Promotion Appeal Board) Act 1945 </w:t>
      </w:r>
      <w:r>
        <w:rPr>
          <w:i/>
          <w:snapToGrid w:val="0"/>
          <w:vertAlign w:val="superscript"/>
        </w:rPr>
        <w:t>3</w:t>
      </w:r>
      <w:r>
        <w:rPr>
          <w:snapToGrid w:val="0"/>
        </w:rPr>
        <w:t>, do not apply to or in relation to an officer or a wages employee of the Authority.</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(1)(a) to be an officer of the Authority and who is a member of the Senior Executive Service within the meaning of the </w:t>
      </w:r>
      <w:r>
        <w:rPr>
          <w:i/>
          <w:snapToGrid w:val="0"/>
        </w:rPr>
        <w:t xml:space="preserve">Public Service Act 1978 </w:t>
      </w:r>
      <w:r>
        <w:rPr>
          <w:i/>
          <w:snapToGrid w:val="0"/>
          <w:vertAlign w:val="superscript"/>
        </w:rPr>
        <w:t>4</w:t>
      </w:r>
      <w:r>
        <w:rPr>
          <w:snapToGrid w:val="0"/>
        </w:rPr>
        <w:t xml:space="preserve"> an inconsistency between this Act and that Act that Act shall prevail.</w:t>
      </w:r>
    </w:p>
    <w:p>
      <w:pPr>
        <w:pStyle w:val="Footnotesection"/>
      </w:pPr>
      <w:r>
        <w:tab/>
        <w:t xml:space="preserve">[Section 21 amended by No. 113 of 1987 s.32; No. 32 of 1994 s.19.] </w:t>
      </w:r>
    </w:p>
    <w:p>
      <w:pPr>
        <w:pStyle w:val="Heading5"/>
        <w:rPr>
          <w:snapToGrid w:val="0"/>
        </w:rPr>
      </w:pPr>
      <w:bookmarkStart w:id="57" w:name="_Toc517588127"/>
      <w:bookmarkStart w:id="58" w:name="_Toc517588257"/>
      <w:bookmarkStart w:id="59" w:name="_Toc518096106"/>
      <w:r>
        <w:rPr>
          <w:rStyle w:val="CharSectno"/>
        </w:rPr>
        <w:t>22</w:t>
      </w:r>
      <w:r>
        <w:rPr>
          <w:snapToGrid w:val="0"/>
        </w:rPr>
        <w:t>.</w:t>
      </w:r>
      <w:r>
        <w:rPr>
          <w:snapToGrid w:val="0"/>
        </w:rPr>
        <w:tab/>
        <w:t>Superannuation</w:t>
      </w:r>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rPr>
        <w:t>, is committed to recommend that the Authority be included as a corporate body in the term “department”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An officer or a wages employee of the Authority is not obliged to become a contributor under the </w:t>
      </w:r>
      <w:r>
        <w:rPr>
          <w:i/>
          <w:snapToGrid w:val="0"/>
        </w:rPr>
        <w:t>Superannuation and Family Benefits Act 1938</w:t>
      </w:r>
      <w:r>
        <w:rPr>
          <w:snapToGrid w:val="0"/>
        </w:rPr>
        <w:t>.</w:t>
      </w:r>
    </w:p>
    <w:p>
      <w:pPr>
        <w:pStyle w:val="Heading5"/>
        <w:rPr>
          <w:snapToGrid w:val="0"/>
        </w:rPr>
      </w:pPr>
      <w:bookmarkStart w:id="60" w:name="_Toc517588128"/>
      <w:bookmarkStart w:id="61" w:name="_Toc517588258"/>
      <w:bookmarkStart w:id="62" w:name="_Toc518096107"/>
      <w:r>
        <w:rPr>
          <w:rStyle w:val="CharSectno"/>
        </w:rPr>
        <w:t>23</w:t>
      </w:r>
      <w:r>
        <w:rPr>
          <w:snapToGrid w:val="0"/>
        </w:rPr>
        <w:t>.</w:t>
      </w:r>
      <w:r>
        <w:rPr>
          <w:snapToGrid w:val="0"/>
        </w:rPr>
        <w:tab/>
        <w:t>Co</w:t>
      </w:r>
      <w:r>
        <w:rPr>
          <w:snapToGrid w:val="0"/>
        </w:rPr>
        <w:noBreakHyphen/>
        <w:t>opted and seconded staff</w:t>
      </w:r>
      <w:bookmarkEnd w:id="60"/>
      <w:bookmarkEnd w:id="61"/>
      <w:bookmarkEnd w:id="62"/>
      <w:r>
        <w:rPr>
          <w:snapToGrid w:val="0"/>
        </w:rPr>
        <w:t xml:space="preserve"> </w:t>
      </w:r>
    </w:p>
    <w:p>
      <w:pPr>
        <w:pStyle w:val="Subsection"/>
        <w:rPr>
          <w:snapToGrid w:val="0"/>
        </w:rPr>
      </w:pPr>
      <w:r>
        <w:rPr>
          <w:snapToGrid w:val="0"/>
        </w:rPr>
        <w:tab/>
        <w:t>(1)</w:t>
      </w:r>
      <w:r>
        <w:rPr>
          <w:snapToGrid w:val="0"/>
        </w:rPr>
        <w:tab/>
        <w:t>The Authority may, with the consent of the Minister administering any department of the Public Service of the State, for the purposes of this Act, co</w:t>
      </w:r>
      <w:r>
        <w:rPr>
          <w:snapToGrid w:val="0"/>
        </w:rPr>
        <w:noBreakHyphen/>
        <w:t>opt the services, whether of an administrative, professional, technical, or other nature, of any person employed in any of those departments, or request the secondment of any such person, upon such terms as may be agreed between that Minister and the Authority.</w:t>
      </w:r>
    </w:p>
    <w:p>
      <w:pPr>
        <w:pStyle w:val="Subsection"/>
        <w:rPr>
          <w:snapToGrid w:val="0"/>
        </w:rPr>
      </w:pPr>
      <w:r>
        <w:rPr>
          <w:snapToGrid w:val="0"/>
        </w:rPr>
        <w:tab/>
        <w:t>(2)</w:t>
      </w:r>
      <w:r>
        <w:rPr>
          <w:snapToGrid w:val="0"/>
        </w:rPr>
        <w:tab/>
        <w:t>Where the services of any person are co</w:t>
      </w:r>
      <w:r>
        <w:rPr>
          <w:snapToGrid w:val="0"/>
        </w:rPr>
        <w:noBreakHyphen/>
        <w:t xml:space="preserve">opted or a person is seconded under the provisions of this section, it does not prejudice that person’s existing or accruing rights under the </w:t>
      </w:r>
      <w:r>
        <w:rPr>
          <w:i/>
          <w:snapToGrid w:val="0"/>
        </w:rPr>
        <w:t>Public Service Act 1904</w:t>
      </w:r>
      <w:r>
        <w:rPr>
          <w:snapToGrid w:val="0"/>
        </w:rPr>
        <w:t xml:space="preserve"> </w:t>
      </w:r>
      <w:r>
        <w:rPr>
          <w:snapToGrid w:val="0"/>
          <w:vertAlign w:val="superscript"/>
        </w:rPr>
        <w:t>5</w:t>
      </w:r>
      <w:r>
        <w:rPr>
          <w:snapToGrid w:val="0"/>
        </w:rPr>
        <w:t>, or under any other Act applying to him as a public servant, and his service with the Authority under this Act shall be regarded as service in the Public Service of the State for the purposes of determining those rights.</w:t>
      </w:r>
    </w:p>
    <w:p>
      <w:pPr>
        <w:pStyle w:val="Footnotesection"/>
      </w:pPr>
      <w:r>
        <w:tab/>
        <w:t xml:space="preserve">[Section 23 amended by No. 32 of 1994 s.19.] </w:t>
      </w:r>
    </w:p>
    <w:p>
      <w:pPr>
        <w:pStyle w:val="Heading5"/>
        <w:rPr>
          <w:snapToGrid w:val="0"/>
        </w:rPr>
      </w:pPr>
      <w:bookmarkStart w:id="63" w:name="_Toc517588129"/>
      <w:bookmarkStart w:id="64" w:name="_Toc517588259"/>
      <w:bookmarkStart w:id="65" w:name="_Toc518096108"/>
      <w:r>
        <w:rPr>
          <w:rStyle w:val="CharSectno"/>
        </w:rPr>
        <w:t>24</w:t>
      </w:r>
      <w:r>
        <w:rPr>
          <w:snapToGrid w:val="0"/>
        </w:rPr>
        <w:t>.</w:t>
      </w:r>
      <w:r>
        <w:rPr>
          <w:snapToGrid w:val="0"/>
        </w:rPr>
        <w:tab/>
        <w:t>Contractual services</w:t>
      </w:r>
      <w:bookmarkEnd w:id="63"/>
      <w:bookmarkEnd w:id="64"/>
      <w:bookmarkEnd w:id="65"/>
      <w:r>
        <w:rPr>
          <w:snapToGrid w:val="0"/>
        </w:rPr>
        <w:t xml:space="preserve"> </w:t>
      </w:r>
    </w:p>
    <w:p>
      <w:pPr>
        <w:pStyle w:val="Subsection"/>
        <w:rPr>
          <w:snapToGrid w:val="0"/>
        </w:rPr>
      </w:pPr>
      <w:r>
        <w:rPr>
          <w:snapToGrid w:val="0"/>
        </w:rPr>
        <w:tab/>
        <w:t>(1)</w:t>
      </w:r>
      <w:r>
        <w:rPr>
          <w:snapToGrid w:val="0"/>
        </w:rPr>
        <w:tab/>
        <w:t>The Authority may engage under contract for services such professional, technical, or other assistance as may be necessary to enable the Authority to perform it functions effectively.</w:t>
      </w:r>
    </w:p>
    <w:p>
      <w:pPr>
        <w:pStyle w:val="Subsection"/>
        <w:rPr>
          <w:snapToGrid w:val="0"/>
        </w:rPr>
      </w:pPr>
      <w:r>
        <w:rPr>
          <w:snapToGrid w:val="0"/>
        </w:rPr>
        <w:tab/>
        <w:t>(2)</w:t>
      </w:r>
      <w:r>
        <w:rPr>
          <w:snapToGrid w:val="0"/>
        </w:rPr>
        <w:tab/>
        <w:t xml:space="preserve">A person engaged under the provisions of subsection (1) is not a person appointed under Part 3 of the </w:t>
      </w:r>
      <w:r>
        <w:rPr>
          <w:i/>
          <w:snapToGrid w:val="0"/>
        </w:rPr>
        <w:t>Public Sector Management Act 1994</w:t>
      </w:r>
      <w:r>
        <w:rPr>
          <w:snapToGrid w:val="0"/>
        </w:rPr>
        <w:t xml:space="preserve">, and subject to this Act and to any award or agreement in force under the </w:t>
      </w:r>
      <w:r>
        <w:rPr>
          <w:i/>
          <w:snapToGrid w:val="0"/>
        </w:rPr>
        <w:t xml:space="preserve">Industrial Arbitration Act 1912 </w:t>
      </w:r>
      <w:r>
        <w:rPr>
          <w:snapToGrid w:val="0"/>
          <w:vertAlign w:val="superscript"/>
        </w:rPr>
        <w:t>2</w:t>
      </w:r>
      <w:r>
        <w:rPr>
          <w:snapToGrid w:val="0"/>
        </w:rPr>
        <w:t>, the Authority may effect, suspend, and terminate the engagement subject to such terms and conditions as the Authority thinks fit.</w:t>
      </w:r>
    </w:p>
    <w:p>
      <w:pPr>
        <w:pStyle w:val="Footnotesection"/>
      </w:pPr>
      <w:r>
        <w:tab/>
        <w:t xml:space="preserve">[Section 24 amended by No. 32 of 1994 s.19.] </w:t>
      </w:r>
    </w:p>
    <w:p>
      <w:pPr>
        <w:pStyle w:val="Heading2"/>
      </w:pPr>
      <w:r>
        <w:rPr>
          <w:rStyle w:val="CharPartNo"/>
        </w:rPr>
        <w:t>Part III</w:t>
      </w:r>
      <w:r>
        <w:rPr>
          <w:rStyle w:val="CharDivNo"/>
        </w:rPr>
        <w:t> </w:t>
      </w:r>
      <w:r>
        <w:t>—</w:t>
      </w:r>
      <w:r>
        <w:rPr>
          <w:rStyle w:val="CharDivText"/>
        </w:rPr>
        <w:t> </w:t>
      </w:r>
      <w:r>
        <w:rPr>
          <w:rStyle w:val="CharPartText"/>
        </w:rPr>
        <w:t xml:space="preserve">Alcohol and drug Centres </w:t>
      </w:r>
    </w:p>
    <w:p>
      <w:pPr>
        <w:pStyle w:val="Heading5"/>
        <w:rPr>
          <w:snapToGrid w:val="0"/>
        </w:rPr>
      </w:pPr>
      <w:bookmarkStart w:id="66" w:name="_Toc517588130"/>
      <w:bookmarkStart w:id="67" w:name="_Toc517588260"/>
      <w:bookmarkStart w:id="68" w:name="_Toc518096109"/>
      <w:r>
        <w:rPr>
          <w:rStyle w:val="CharSectno"/>
        </w:rPr>
        <w:t>25</w:t>
      </w:r>
      <w:r>
        <w:rPr>
          <w:snapToGrid w:val="0"/>
        </w:rPr>
        <w:t>.</w:t>
      </w:r>
      <w:r>
        <w:rPr>
          <w:snapToGrid w:val="0"/>
        </w:rPr>
        <w:tab/>
        <w:t>Centres</w:t>
      </w:r>
      <w:bookmarkEnd w:id="66"/>
      <w:bookmarkEnd w:id="67"/>
      <w:bookmarkEnd w:id="68"/>
      <w:r>
        <w:rPr>
          <w:snapToGrid w:val="0"/>
        </w:rPr>
        <w:t xml:space="preserve"> </w:t>
      </w:r>
    </w:p>
    <w:p>
      <w:pPr>
        <w:pStyle w:val="Subsection"/>
        <w:rPr>
          <w:snapToGrid w:val="0"/>
        </w:rPr>
      </w:pPr>
      <w:r>
        <w:rPr>
          <w:snapToGrid w:val="0"/>
        </w:rPr>
        <w:tab/>
      </w:r>
      <w:r>
        <w:rPr>
          <w:snapToGrid w:val="0"/>
        </w:rPr>
        <w:tab/>
        <w:t>The Authority, may with the approval of the Minister, from time to time with respect to any Centre — </w:t>
      </w:r>
    </w:p>
    <w:p>
      <w:pPr>
        <w:pStyle w:val="Indenta"/>
        <w:rPr>
          <w:snapToGrid w:val="0"/>
        </w:rPr>
      </w:pPr>
      <w:r>
        <w:rPr>
          <w:snapToGrid w:val="0"/>
        </w:rPr>
        <w:tab/>
        <w:t>(a)</w:t>
      </w:r>
      <w:r>
        <w:rPr>
          <w:snapToGrid w:val="0"/>
        </w:rPr>
        <w:tab/>
        <w:t>prohibit or regulate the admission of persons to or the right of persons to remain in, the Centre;</w:t>
      </w:r>
    </w:p>
    <w:p>
      <w:pPr>
        <w:pStyle w:val="Indenta"/>
        <w:rPr>
          <w:snapToGrid w:val="0"/>
        </w:rPr>
      </w:pPr>
      <w:r>
        <w:rPr>
          <w:snapToGrid w:val="0"/>
        </w:rPr>
        <w:tab/>
        <w:t>(b)</w:t>
      </w:r>
      <w:r>
        <w:rPr>
          <w:snapToGrid w:val="0"/>
        </w:rPr>
        <w:tab/>
        <w:t>fix fees for any facility or service provided and determine the persons or classes of persons who are liable for payment to the Authority of those fees in full or in part or who may be exempted from such payment.</w:t>
      </w:r>
    </w:p>
    <w:p>
      <w:pPr>
        <w:pStyle w:val="Heading5"/>
        <w:rPr>
          <w:snapToGrid w:val="0"/>
        </w:rPr>
      </w:pPr>
      <w:bookmarkStart w:id="69" w:name="_Toc517588131"/>
      <w:bookmarkStart w:id="70" w:name="_Toc517588261"/>
      <w:bookmarkStart w:id="71" w:name="_Toc518096110"/>
      <w:r>
        <w:rPr>
          <w:rStyle w:val="CharSectno"/>
        </w:rPr>
        <w:t>26</w:t>
      </w:r>
      <w:r>
        <w:rPr>
          <w:snapToGrid w:val="0"/>
        </w:rPr>
        <w:t>.</w:t>
      </w:r>
      <w:r>
        <w:rPr>
          <w:snapToGrid w:val="0"/>
        </w:rPr>
        <w:tab/>
        <w:t>Procedure on deaths in Centres</w:t>
      </w:r>
      <w:bookmarkEnd w:id="69"/>
      <w:bookmarkEnd w:id="70"/>
      <w:bookmarkEnd w:id="71"/>
      <w:r>
        <w:rPr>
          <w:snapToGrid w:val="0"/>
        </w:rPr>
        <w:t xml:space="preserve"> </w:t>
      </w:r>
    </w:p>
    <w:p>
      <w:pPr>
        <w:pStyle w:val="Subsection"/>
        <w:rPr>
          <w:snapToGrid w:val="0"/>
        </w:rPr>
      </w:pPr>
      <w:r>
        <w:rPr>
          <w:snapToGrid w:val="0"/>
        </w:rPr>
        <w:tab/>
        <w:t>(1)</w:t>
      </w:r>
      <w:r>
        <w:rPr>
          <w:snapToGrid w:val="0"/>
        </w:rPr>
        <w:tab/>
        <w:t>An inquiry shall be held by the Authority as to the death or injury caused to any person in a Centre while he is there for assessment, treatment, management, care, or rehabilitation.</w:t>
      </w:r>
    </w:p>
    <w:p>
      <w:pPr>
        <w:pStyle w:val="Subsection"/>
        <w:rPr>
          <w:snapToGrid w:val="0"/>
        </w:rPr>
      </w:pPr>
      <w:r>
        <w:rPr>
          <w:snapToGrid w:val="0"/>
        </w:rPr>
        <w:tab/>
        <w:t>(2)</w:t>
      </w:r>
      <w:r>
        <w:rPr>
          <w:snapToGrid w:val="0"/>
        </w:rPr>
        <w:tab/>
        <w:t>The person in charge of a Centre shall report to the Authority with respect to the circumstances surrounding the death or injury to any person in a Centre, while he is there for assessment, treatment, management, care, or rehabilitation.</w:t>
      </w:r>
    </w:p>
    <w:p>
      <w:pPr>
        <w:pStyle w:val="Heading2"/>
      </w:pPr>
      <w:r>
        <w:rPr>
          <w:rStyle w:val="CharPartNo"/>
        </w:rPr>
        <w:t>Part IV</w:t>
      </w:r>
      <w:r>
        <w:rPr>
          <w:rStyle w:val="CharDivNo"/>
        </w:rPr>
        <w:t> </w:t>
      </w:r>
      <w:r>
        <w:t>—</w:t>
      </w:r>
      <w:r>
        <w:rPr>
          <w:rStyle w:val="CharDivText"/>
        </w:rPr>
        <w:t> </w:t>
      </w:r>
      <w:r>
        <w:rPr>
          <w:rStyle w:val="CharPartText"/>
        </w:rPr>
        <w:t xml:space="preserve">Financial provisions </w:t>
      </w:r>
    </w:p>
    <w:p>
      <w:pPr>
        <w:pStyle w:val="Heading5"/>
        <w:rPr>
          <w:snapToGrid w:val="0"/>
        </w:rPr>
      </w:pPr>
      <w:bookmarkStart w:id="72" w:name="_Toc517588132"/>
      <w:bookmarkStart w:id="73" w:name="_Toc517588262"/>
      <w:bookmarkStart w:id="74" w:name="_Toc518096111"/>
      <w:r>
        <w:rPr>
          <w:rStyle w:val="CharSectno"/>
        </w:rPr>
        <w:t>27</w:t>
      </w:r>
      <w:r>
        <w:rPr>
          <w:snapToGrid w:val="0"/>
        </w:rPr>
        <w:t>.</w:t>
      </w:r>
      <w:r>
        <w:rPr>
          <w:snapToGrid w:val="0"/>
        </w:rPr>
        <w:tab/>
        <w:t xml:space="preserve">Application of the </w:t>
      </w:r>
      <w:r>
        <w:rPr>
          <w:i/>
          <w:snapToGrid w:val="0"/>
        </w:rPr>
        <w:t>Financial Administration and Audit Act 1985</w:t>
      </w:r>
      <w:bookmarkEnd w:id="72"/>
      <w:bookmarkEnd w:id="73"/>
      <w:bookmarkEnd w:id="74"/>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Footnotesection"/>
      </w:pPr>
      <w:r>
        <w:tab/>
        <w:t xml:space="preserve">[Section 27 inserted by No. 98 of 1985 s.3.] </w:t>
      </w:r>
    </w:p>
    <w:p>
      <w:pPr>
        <w:pStyle w:val="Heading5"/>
        <w:rPr>
          <w:snapToGrid w:val="0"/>
        </w:rPr>
      </w:pPr>
      <w:bookmarkStart w:id="75" w:name="_Toc517588133"/>
      <w:bookmarkStart w:id="76" w:name="_Toc517588263"/>
      <w:bookmarkStart w:id="77" w:name="_Toc518096112"/>
      <w:r>
        <w:rPr>
          <w:rStyle w:val="CharSectno"/>
        </w:rPr>
        <w:t>28</w:t>
      </w:r>
      <w:r>
        <w:rPr>
          <w:snapToGrid w:val="0"/>
        </w:rPr>
        <w:t>.</w:t>
      </w:r>
      <w:r>
        <w:rPr>
          <w:snapToGrid w:val="0"/>
        </w:rPr>
        <w:tab/>
        <w:t>Funds of the Authority</w:t>
      </w:r>
      <w:bookmarkEnd w:id="75"/>
      <w:bookmarkEnd w:id="76"/>
      <w:bookmarkEnd w:id="77"/>
      <w:r>
        <w:rPr>
          <w:snapToGrid w:val="0"/>
        </w:rPr>
        <w:t xml:space="preserve"> </w:t>
      </w:r>
    </w:p>
    <w:p>
      <w:pPr>
        <w:pStyle w:val="Subsection"/>
        <w:rPr>
          <w:snapToGrid w:val="0"/>
        </w:rPr>
      </w:pPr>
      <w:r>
        <w:rPr>
          <w:snapToGrid w:val="0"/>
        </w:rPr>
        <w:tab/>
        <w:t>(1)</w:t>
      </w:r>
      <w:r>
        <w:rPr>
          <w:snapToGrid w:val="0"/>
        </w:rPr>
        <w:tab/>
        <w:t>The funds available to the Authority for the purpose of enabling it to exercise its functions, powers, and duties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gifts, bequests, or otherwise;</w:t>
      </w:r>
    </w:p>
    <w:p>
      <w:pPr>
        <w:pStyle w:val="Indenta"/>
        <w:rPr>
          <w:snapToGrid w:val="0"/>
        </w:rPr>
      </w:pPr>
      <w:r>
        <w:rPr>
          <w:snapToGrid w:val="0"/>
        </w:rPr>
        <w:tab/>
        <w:t>(c)</w:t>
      </w:r>
      <w:r>
        <w:rPr>
          <w:snapToGrid w:val="0"/>
        </w:rPr>
        <w:tab/>
        <w:t>moneys borrowed by the Authority under this Act; and</w:t>
      </w:r>
    </w:p>
    <w:p>
      <w:pPr>
        <w:pStyle w:val="Indenta"/>
        <w:rPr>
          <w:snapToGrid w:val="0"/>
        </w:rPr>
      </w:pPr>
      <w:r>
        <w:rPr>
          <w:snapToGrid w:val="0"/>
        </w:rPr>
        <w:tab/>
        <w:t>(d)</w:t>
      </w:r>
      <w:r>
        <w:rPr>
          <w:snapToGrid w:val="0"/>
        </w:rPr>
        <w:tab/>
        <w:t>moneys made available to the Authority for the purposes of this Act.</w:t>
      </w:r>
    </w:p>
    <w:p>
      <w:pPr>
        <w:pStyle w:val="Subsection"/>
        <w:rPr>
          <w:snapToGrid w:val="0"/>
        </w:rPr>
      </w:pPr>
      <w:r>
        <w:rPr>
          <w:snapToGrid w:val="0"/>
        </w:rPr>
        <w:tab/>
        <w:t>(2)</w:t>
      </w:r>
      <w:r>
        <w:rPr>
          <w:snapToGrid w:val="0"/>
        </w:rPr>
        <w:tab/>
        <w:t>The moneys referred to in subsection (1) shall be — </w:t>
      </w:r>
    </w:p>
    <w:p>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and the account is to be called the Western Australian Alcohol and Drug Authority Account.</w:t>
      </w:r>
    </w:p>
    <w:p>
      <w:pPr>
        <w:pStyle w:val="Subsection"/>
        <w:rPr>
          <w:snapToGrid w:val="0"/>
        </w:rPr>
      </w:pPr>
      <w:r>
        <w:rPr>
          <w:snapToGrid w:val="0"/>
        </w:rPr>
        <w:tab/>
        <w:t>(3)</w:t>
      </w:r>
      <w:r>
        <w:rPr>
          <w:snapToGrid w:val="0"/>
        </w:rPr>
        <w:tab/>
        <w:t>All expenditure incurred by the Authority for the purposes of giving effect to this Act, including the repayment of moneys borrowed by or advanced to the Authority in accordance with this Act, shall be charged to the account referred to in subsection (2).</w:t>
      </w:r>
    </w:p>
    <w:p>
      <w:pPr>
        <w:pStyle w:val="Footnotesection"/>
      </w:pPr>
      <w:r>
        <w:tab/>
        <w:t xml:space="preserve">[Section 28 amended by No. 49 of 1996 ss.48 and 64.] </w:t>
      </w:r>
    </w:p>
    <w:p>
      <w:pPr>
        <w:pStyle w:val="Heading5"/>
        <w:rPr>
          <w:snapToGrid w:val="0"/>
        </w:rPr>
      </w:pPr>
      <w:bookmarkStart w:id="78" w:name="_Toc517588134"/>
      <w:bookmarkStart w:id="79" w:name="_Toc517588264"/>
      <w:bookmarkStart w:id="80" w:name="_Toc518096113"/>
      <w:r>
        <w:rPr>
          <w:rStyle w:val="CharSectno"/>
        </w:rPr>
        <w:t>29</w:t>
      </w:r>
      <w:r>
        <w:rPr>
          <w:snapToGrid w:val="0"/>
        </w:rPr>
        <w:t>.</w:t>
      </w:r>
      <w:r>
        <w:rPr>
          <w:snapToGrid w:val="0"/>
        </w:rPr>
        <w:tab/>
        <w:t>Power to borrow money</w:t>
      </w:r>
      <w:bookmarkEnd w:id="78"/>
      <w:bookmarkEnd w:id="79"/>
      <w:bookmarkEnd w:id="80"/>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authorized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authorized to so approve and to give the guarantee, including the guarantee of interest,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Heading5"/>
        <w:rPr>
          <w:snapToGrid w:val="0"/>
        </w:rPr>
      </w:pPr>
      <w:bookmarkStart w:id="81" w:name="_Toc517588135"/>
      <w:bookmarkStart w:id="82" w:name="_Toc517588265"/>
      <w:bookmarkStart w:id="83" w:name="_Toc518096114"/>
      <w:r>
        <w:rPr>
          <w:rStyle w:val="CharSectno"/>
        </w:rPr>
        <w:t>30</w:t>
      </w:r>
      <w:r>
        <w:rPr>
          <w:snapToGrid w:val="0"/>
        </w:rPr>
        <w:t>.</w:t>
      </w:r>
      <w:r>
        <w:rPr>
          <w:snapToGrid w:val="0"/>
        </w:rPr>
        <w:tab/>
        <w:t>Power of the Authority to invest certain moneys</w:t>
      </w:r>
      <w:bookmarkEnd w:id="81"/>
      <w:bookmarkEnd w:id="82"/>
      <w:bookmarkEnd w:id="83"/>
      <w:r>
        <w:rPr>
          <w:snapToGrid w:val="0"/>
        </w:rPr>
        <w:t xml:space="preserve"> </w:t>
      </w:r>
    </w:p>
    <w:p>
      <w:pPr>
        <w:pStyle w:val="Subsection"/>
        <w:rPr>
          <w:snapToGrid w:val="0"/>
        </w:rPr>
      </w:pPr>
      <w:r>
        <w:rPr>
          <w:snapToGrid w:val="0"/>
        </w:rPr>
        <w:tab/>
      </w:r>
      <w:r>
        <w:rPr>
          <w:snapToGrid w:val="0"/>
        </w:rPr>
        <w:tab/>
        <w:t xml:space="preserve">Where any money standing to the credit of the Western Australian Alcohol and Drug Authority Account is not immediately required for the purposes of this Act, the Authority may invest it in any investments authorized by law as in force immediately before the coming into operation of the </w:t>
      </w:r>
      <w:r>
        <w:rPr>
          <w:i/>
          <w:snapToGrid w:val="0"/>
        </w:rPr>
        <w:t>Trustees Amendment Act 1997</w:t>
      </w:r>
      <w:r>
        <w:rPr>
          <w:snapToGrid w:val="0"/>
        </w:rPr>
        <w:t xml:space="preserve"> </w:t>
      </w:r>
      <w:r>
        <w:rPr>
          <w:snapToGrid w:val="0"/>
          <w:vertAlign w:val="superscript"/>
        </w:rPr>
        <w:t>6</w:t>
      </w:r>
      <w:r>
        <w:rPr>
          <w:snapToGrid w:val="0"/>
        </w:rPr>
        <w:t xml:space="preserve"> as those in which trust funds may be invested.</w:t>
      </w:r>
    </w:p>
    <w:p>
      <w:pPr>
        <w:pStyle w:val="Footnotesection"/>
      </w:pPr>
      <w:r>
        <w:tab/>
        <w:t xml:space="preserve">[Section 30 amended by No. 1 of 1997 s.18.] </w:t>
      </w:r>
    </w:p>
    <w:p>
      <w:pPr>
        <w:pStyle w:val="Ednotesection"/>
      </w:pPr>
      <w:r>
        <w:t>[</w:t>
      </w:r>
      <w:r>
        <w:rPr>
          <w:b/>
        </w:rPr>
        <w:t>31.</w:t>
      </w:r>
      <w:r>
        <w:t xml:space="preserve"> </w:t>
      </w:r>
      <w:r>
        <w:tab/>
      </w:r>
      <w:r>
        <w:tab/>
        <w:t xml:space="preserve">Repealed by No. 98 of 1985 s.3.] </w:t>
      </w:r>
    </w:p>
    <w:p>
      <w:pPr>
        <w:pStyle w:val="Heading5"/>
        <w:rPr>
          <w:snapToGrid w:val="0"/>
        </w:rPr>
      </w:pPr>
      <w:bookmarkStart w:id="84" w:name="_Toc517588136"/>
      <w:bookmarkStart w:id="85" w:name="_Toc517588266"/>
      <w:bookmarkStart w:id="86" w:name="_Toc518096115"/>
      <w:r>
        <w:rPr>
          <w:rStyle w:val="CharSectno"/>
        </w:rPr>
        <w:t>32</w:t>
      </w:r>
      <w:r>
        <w:rPr>
          <w:snapToGrid w:val="0"/>
        </w:rPr>
        <w:t>.</w:t>
      </w:r>
      <w:r>
        <w:rPr>
          <w:snapToGrid w:val="0"/>
        </w:rPr>
        <w:tab/>
        <w:t>Application of moneys received by the Authority</w:t>
      </w:r>
      <w:bookmarkEnd w:id="84"/>
      <w:bookmarkEnd w:id="85"/>
      <w:bookmarkEnd w:id="86"/>
      <w:r>
        <w:rPr>
          <w:snapToGrid w:val="0"/>
        </w:rPr>
        <w:t xml:space="preserve"> </w:t>
      </w:r>
    </w:p>
    <w:p>
      <w:pPr>
        <w:pStyle w:val="Subsection"/>
        <w:rPr>
          <w:snapToGrid w:val="0"/>
        </w:rPr>
      </w:pPr>
      <w:r>
        <w:rPr>
          <w:snapToGrid w:val="0"/>
        </w:rPr>
        <w:tab/>
      </w:r>
      <w:r>
        <w:rPr>
          <w:snapToGrid w:val="0"/>
        </w:rPr>
        <w:tab/>
        <w:t>The Authority shall apply for the objects of the Authority all fees and other moneys received by it under this Act or otherwise.</w:t>
      </w:r>
    </w:p>
    <w:p>
      <w:pPr>
        <w:pStyle w:val="Ednotesection"/>
      </w:pPr>
      <w:r>
        <w:t>[</w:t>
      </w:r>
      <w:r>
        <w:rPr>
          <w:b/>
        </w:rPr>
        <w:t>33.</w:t>
      </w:r>
      <w:r>
        <w:t xml:space="preserve"> </w:t>
      </w:r>
      <w:r>
        <w:tab/>
      </w:r>
      <w:r>
        <w:tab/>
        <w:t xml:space="preserve">Repealed by No. 98 of 1985 s.3.] </w:t>
      </w:r>
    </w:p>
    <w:p>
      <w:pPr>
        <w:pStyle w:val="Heading2"/>
      </w:pPr>
      <w:r>
        <w:rPr>
          <w:rStyle w:val="CharPartNo"/>
        </w:rPr>
        <w:t>Part V</w:t>
      </w:r>
      <w:r>
        <w:rPr>
          <w:rStyle w:val="CharDivNo"/>
        </w:rPr>
        <w:t> </w:t>
      </w:r>
      <w:r>
        <w:t>—</w:t>
      </w:r>
      <w:r>
        <w:rPr>
          <w:rStyle w:val="CharDivText"/>
        </w:rPr>
        <w:t> </w:t>
      </w:r>
      <w:r>
        <w:rPr>
          <w:rStyle w:val="CharPartText"/>
        </w:rPr>
        <w:t xml:space="preserve">Miscellaneous provisions </w:t>
      </w:r>
    </w:p>
    <w:p>
      <w:pPr>
        <w:pStyle w:val="Heading5"/>
        <w:rPr>
          <w:snapToGrid w:val="0"/>
        </w:rPr>
      </w:pPr>
      <w:bookmarkStart w:id="87" w:name="_Toc517588137"/>
      <w:bookmarkStart w:id="88" w:name="_Toc517588267"/>
      <w:bookmarkStart w:id="89" w:name="_Toc518096116"/>
      <w:r>
        <w:rPr>
          <w:rStyle w:val="CharSectno"/>
        </w:rPr>
        <w:t>34</w:t>
      </w:r>
      <w:r>
        <w:rPr>
          <w:snapToGrid w:val="0"/>
        </w:rPr>
        <w:t>.</w:t>
      </w:r>
      <w:r>
        <w:rPr>
          <w:snapToGrid w:val="0"/>
        </w:rPr>
        <w:tab/>
        <w:t>Recovery of fees</w:t>
      </w:r>
      <w:bookmarkEnd w:id="87"/>
      <w:bookmarkEnd w:id="88"/>
      <w:bookmarkEnd w:id="89"/>
      <w:r>
        <w:rPr>
          <w:snapToGrid w:val="0"/>
        </w:rPr>
        <w:t xml:space="preserve"> </w:t>
      </w:r>
    </w:p>
    <w:p>
      <w:pPr>
        <w:pStyle w:val="Subsection"/>
        <w:rPr>
          <w:snapToGrid w:val="0"/>
        </w:rPr>
      </w:pPr>
      <w:r>
        <w:rPr>
          <w:snapToGrid w:val="0"/>
        </w:rPr>
        <w:tab/>
      </w:r>
      <w:r>
        <w:rPr>
          <w:snapToGrid w:val="0"/>
        </w:rPr>
        <w:tab/>
        <w:t>In any court of competent jurisdiction an officer of the Authority, who is authorized in writing by the Authority in that behalf, may recover for the Authority any fees that are payable to the Authority and have not been paid.</w:t>
      </w:r>
    </w:p>
    <w:p>
      <w:pPr>
        <w:pStyle w:val="Heading5"/>
        <w:spacing w:before="120"/>
        <w:rPr>
          <w:snapToGrid w:val="0"/>
        </w:rPr>
      </w:pPr>
      <w:bookmarkStart w:id="90" w:name="_Toc517588138"/>
      <w:bookmarkStart w:id="91" w:name="_Toc517588268"/>
      <w:bookmarkStart w:id="92" w:name="_Toc518096117"/>
      <w:r>
        <w:rPr>
          <w:rStyle w:val="CharSectno"/>
        </w:rPr>
        <w:t>35</w:t>
      </w:r>
      <w:r>
        <w:rPr>
          <w:snapToGrid w:val="0"/>
        </w:rPr>
        <w:t>.</w:t>
      </w:r>
      <w:r>
        <w:rPr>
          <w:snapToGrid w:val="0"/>
        </w:rPr>
        <w:tab/>
        <w:t>Protection of members</w:t>
      </w:r>
      <w:bookmarkEnd w:id="90"/>
      <w:bookmarkEnd w:id="91"/>
      <w:bookmarkEnd w:id="92"/>
      <w:r>
        <w:rPr>
          <w:snapToGrid w:val="0"/>
        </w:rPr>
        <w:t xml:space="preserve"> </w:t>
      </w:r>
    </w:p>
    <w:p>
      <w:pPr>
        <w:pStyle w:val="Subsection"/>
        <w:rPr>
          <w:snapToGrid w:val="0"/>
        </w:rPr>
      </w:pPr>
      <w:r>
        <w:rPr>
          <w:snapToGrid w:val="0"/>
        </w:rPr>
        <w:tab/>
        <w:t>(1)</w:t>
      </w:r>
      <w:r>
        <w:rPr>
          <w:snapToGrid w:val="0"/>
        </w:rPr>
        <w:tab/>
        <w:t>Any person who is, or has at any time been, a member or an acting member of the Authority is not personally liable for any act done, or omitted to be done, in good faith by the Authority or by him as a member or an acting member.</w:t>
      </w:r>
    </w:p>
    <w:p>
      <w:pPr>
        <w:pStyle w:val="Subsection"/>
        <w:rPr>
          <w:snapToGrid w:val="0"/>
        </w:rPr>
      </w:pPr>
      <w:r>
        <w:rPr>
          <w:snapToGrid w:val="0"/>
        </w:rPr>
        <w:tab/>
        <w:t>(2)</w:t>
      </w:r>
      <w:r>
        <w:rPr>
          <w:snapToGrid w:val="0"/>
        </w:rPr>
        <w:tab/>
        <w:t>Acceptance of or being in the office of member or acting member of the Authority by any person does not of itself render the provisions of Part</w:t>
      </w:r>
      <w:r>
        <w:rPr>
          <w:i/>
          <w:snapToGrid w:val="0"/>
        </w:rPr>
        <w:t xml:space="preserve"> </w:t>
      </w:r>
      <w:r>
        <w:rPr>
          <w:snapToGrid w:val="0"/>
        </w:rPr>
        <w:t>3</w:t>
      </w:r>
      <w:r>
        <w:rPr>
          <w:i/>
          <w:snapToGrid w:val="0"/>
        </w:rPr>
        <w:t xml:space="preserve"> </w:t>
      </w:r>
      <w:r>
        <w:rPr>
          <w:snapToGrid w:val="0"/>
        </w:rPr>
        <w:t>of</w:t>
      </w:r>
      <w:r>
        <w:rPr>
          <w:i/>
          <w:snapToGrid w:val="0"/>
        </w:rPr>
        <w:t xml:space="preserve"> </w:t>
      </w:r>
      <w:r>
        <w:rPr>
          <w:snapToGrid w:val="0"/>
        </w:rPr>
        <w:t>the</w:t>
      </w:r>
      <w:r>
        <w:rPr>
          <w:i/>
          <w:snapToGrid w:val="0"/>
        </w:rPr>
        <w:t xml:space="preserve"> Public Sector Management Act 1994</w:t>
      </w:r>
      <w:r>
        <w:rPr>
          <w:snapToGrid w:val="0"/>
        </w:rPr>
        <w:t>, or any other Act applying to persons as officers of the Public Service of the State, applicable to that member or acting member, or affect or prejudice the application to him of those provisions if they applied to him at the time of the acceptance of or being in that office.</w:t>
      </w:r>
    </w:p>
    <w:p>
      <w:pPr>
        <w:pStyle w:val="Footnotesection"/>
      </w:pPr>
      <w:r>
        <w:tab/>
        <w:t xml:space="preserve">[Section 35 amended by No. 32 of 1994 s.19.] </w:t>
      </w:r>
    </w:p>
    <w:p>
      <w:pPr>
        <w:pStyle w:val="Heading5"/>
        <w:spacing w:before="120"/>
        <w:rPr>
          <w:snapToGrid w:val="0"/>
        </w:rPr>
      </w:pPr>
      <w:bookmarkStart w:id="93" w:name="_Toc517588139"/>
      <w:bookmarkStart w:id="94" w:name="_Toc517588269"/>
      <w:bookmarkStart w:id="95" w:name="_Toc518096118"/>
      <w:r>
        <w:rPr>
          <w:rStyle w:val="CharSectno"/>
        </w:rPr>
        <w:t>36</w:t>
      </w:r>
      <w:r>
        <w:rPr>
          <w:snapToGrid w:val="0"/>
        </w:rPr>
        <w:t>.</w:t>
      </w:r>
      <w:r>
        <w:rPr>
          <w:snapToGrid w:val="0"/>
        </w:rPr>
        <w:tab/>
        <w:t>Regulations</w:t>
      </w:r>
      <w:bookmarkEnd w:id="93"/>
      <w:bookmarkEnd w:id="94"/>
      <w:bookmarkEnd w:id="95"/>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or desirable for the proper administration of this Act or for achieving the purposes of this Act.</w:t>
      </w:r>
    </w:p>
    <w:p>
      <w:pPr>
        <w:pStyle w:val="Subsection"/>
        <w:rPr>
          <w:snapToGrid w:val="0"/>
        </w:rPr>
      </w:pPr>
      <w:r>
        <w:rPr>
          <w:snapToGrid w:val="0"/>
        </w:rPr>
        <w:tab/>
        <w:t>(2)</w:t>
      </w:r>
      <w:r>
        <w:rPr>
          <w:snapToGrid w:val="0"/>
        </w:rPr>
        <w:tab/>
        <w:t>Without limiting the generality of subsection (1) the Governor may make regulations — </w:t>
      </w:r>
    </w:p>
    <w:p>
      <w:pPr>
        <w:pStyle w:val="Indenta"/>
        <w:keepLines w:val="0"/>
        <w:rPr>
          <w:snapToGrid w:val="0"/>
        </w:rPr>
      </w:pPr>
      <w:r>
        <w:rPr>
          <w:snapToGrid w:val="0"/>
        </w:rPr>
        <w:tab/>
        <w:t>(a)</w:t>
      </w:r>
      <w:r>
        <w:rPr>
          <w:snapToGrid w:val="0"/>
        </w:rPr>
        <w:tab/>
        <w:t>for maintaining order and discipline and regulating the general conduct of inmates of and visitors to a Centre or any other place at which accommodation is provided by the Authority under this Act;</w:t>
      </w:r>
    </w:p>
    <w:p>
      <w:pPr>
        <w:pStyle w:val="Indenta"/>
        <w:rPr>
          <w:snapToGrid w:val="0"/>
        </w:rPr>
      </w:pPr>
      <w:r>
        <w:rPr>
          <w:snapToGrid w:val="0"/>
        </w:rPr>
        <w:tab/>
        <w:t>(b)</w:t>
      </w:r>
      <w:r>
        <w:rPr>
          <w:snapToGrid w:val="0"/>
        </w:rPr>
        <w:tab/>
        <w:t>for prohibiting and preventing trespass on the Centres.</w:t>
      </w:r>
    </w:p>
    <w:p>
      <w:pPr>
        <w:pStyle w:val="Subsection"/>
        <w:rPr>
          <w:snapToGrid w:val="0"/>
        </w:rPr>
      </w:pPr>
      <w:r>
        <w:rPr>
          <w:snapToGrid w:val="0"/>
        </w:rPr>
        <w:tab/>
        <w:t>(3)</w:t>
      </w:r>
      <w:r>
        <w:rPr>
          <w:snapToGrid w:val="0"/>
        </w:rPr>
        <w:tab/>
        <w:t>The regulations may prescribe penalties, not exceeding a fine of $40, in respect of a breach of any of the regulations.</w:t>
      </w:r>
    </w:p>
    <w:p>
      <w:pPr>
        <w:pStyle w:val="Subsection"/>
        <w:rPr>
          <w:snapToGrid w:val="0"/>
        </w:rPr>
      </w:pPr>
      <w:r>
        <w:rPr>
          <w:snapToGrid w:val="0"/>
        </w:rPr>
        <w:tab/>
        <w:t>(4)</w:t>
      </w:r>
      <w:r>
        <w:rPr>
          <w:snapToGrid w:val="0"/>
        </w:rPr>
        <w:tab/>
        <w:t>The regulations may require that any information, account, document, or form required to be given or furnished thereunder shall be verified by statutory declaration.</w:t>
      </w:r>
    </w:p>
    <w:p>
      <w:pPr>
        <w:pStyle w:val="Subsection"/>
        <w:rPr>
          <w:snapToGrid w:val="0"/>
        </w:rPr>
      </w:pPr>
      <w:r>
        <w:rPr>
          <w:snapToGrid w:val="0"/>
        </w:rPr>
        <w:tab/>
        <w:t>(5)</w:t>
      </w:r>
      <w:r>
        <w:rPr>
          <w:snapToGrid w:val="0"/>
        </w:rPr>
        <w:tab/>
        <w:t>A regulation —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done shall be done with the approval or to the satisfaction of a specified person or class of persons and may confer a discretionary authority.</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Alcohol and Drug Authority Act 1974</w:t>
      </w:r>
      <w:r>
        <w:rPr>
          <w:snapToGrid w:val="0"/>
        </w:rPr>
        <w:t xml:space="preserve"> and includes all amendments effected by the other Acts referred to in the following Table. .  For amendments that had not come into operation on the date on which this compilation was prepared see endnote </w:t>
      </w:r>
      <w:r>
        <w:rPr>
          <w:snapToGrid w:val="0"/>
          <w:vertAlign w:val="superscript"/>
        </w:rPr>
        <w:t>1a</w:t>
      </w:r>
      <w:r>
        <w:rPr>
          <w:snapToGrid w:val="0"/>
        </w:rPr>
        <w:t>.</w:t>
      </w:r>
    </w:p>
    <w:p>
      <w:pPr>
        <w:pStyle w:val="nHeading3"/>
        <w:rPr>
          <w:snapToGrid w:val="0"/>
          <w:u w:val="single"/>
        </w:rPr>
      </w:pPr>
      <w:bookmarkStart w:id="96" w:name="_Toc517588270"/>
      <w:bookmarkStart w:id="97" w:name="_Toc518096119"/>
      <w:r>
        <w:rPr>
          <w:snapToGrid w:val="0"/>
        </w:rPr>
        <w:t>Compilation table</w:t>
      </w:r>
      <w:bookmarkEnd w:id="96"/>
      <w:bookmarkEnd w:id="97"/>
    </w:p>
    <w:tbl>
      <w:tblPr>
        <w:tblW w:w="0" w:type="auto"/>
        <w:tblInd w:w="208" w:type="dxa"/>
        <w:tblLayout w:type="fixed"/>
        <w:tblCellMar>
          <w:left w:w="28" w:type="dxa"/>
          <w:right w:w="28" w:type="dxa"/>
        </w:tblCellMar>
        <w:tblLook w:val="0000" w:firstRow="0" w:lastRow="0" w:firstColumn="0" w:lastColumn="0" w:noHBand="0" w:noVBand="0"/>
      </w:tblPr>
      <w:tblGrid>
        <w:gridCol w:w="1620"/>
        <w:gridCol w:w="1080"/>
        <w:gridCol w:w="1170"/>
        <w:gridCol w:w="1800"/>
        <w:gridCol w:w="1237"/>
      </w:tblGrid>
      <w:tr>
        <w:trPr>
          <w:cantSplit/>
          <w:tblHeader/>
        </w:trPr>
        <w:tc>
          <w:tcPr>
            <w:tcW w:w="1620" w:type="dxa"/>
            <w:tcBorders>
              <w:top w:val="single" w:sz="12" w:space="0" w:color="auto"/>
              <w:bottom w:val="single" w:sz="12" w:space="0" w:color="auto"/>
            </w:tcBorders>
          </w:tcPr>
          <w:p>
            <w:pPr>
              <w:pStyle w:val="nTable"/>
              <w:spacing w:before="120"/>
              <w:ind w:right="170"/>
              <w:rPr>
                <w:sz w:val="20"/>
              </w:rPr>
            </w:pPr>
            <w:r>
              <w:rPr>
                <w:sz w:val="20"/>
              </w:rPr>
              <w:t>Short title</w:t>
            </w:r>
          </w:p>
        </w:tc>
        <w:tc>
          <w:tcPr>
            <w:tcW w:w="1080" w:type="dxa"/>
            <w:tcBorders>
              <w:top w:val="single" w:sz="12" w:space="0" w:color="auto"/>
              <w:bottom w:val="single" w:sz="12" w:space="0" w:color="auto"/>
            </w:tcBorders>
          </w:tcPr>
          <w:p>
            <w:pPr>
              <w:pStyle w:val="nTable"/>
              <w:spacing w:before="120"/>
              <w:rPr>
                <w:sz w:val="20"/>
              </w:rPr>
            </w:pPr>
            <w:r>
              <w:rPr>
                <w:sz w:val="20"/>
              </w:rPr>
              <w:t>Number and Year</w:t>
            </w:r>
          </w:p>
        </w:tc>
        <w:tc>
          <w:tcPr>
            <w:tcW w:w="1170" w:type="dxa"/>
            <w:tcBorders>
              <w:top w:val="single" w:sz="12" w:space="0" w:color="auto"/>
              <w:bottom w:val="single" w:sz="12" w:space="0" w:color="auto"/>
            </w:tcBorders>
          </w:tcPr>
          <w:p>
            <w:pPr>
              <w:pStyle w:val="nTable"/>
              <w:spacing w:before="120"/>
              <w:rPr>
                <w:sz w:val="20"/>
              </w:rPr>
            </w:pPr>
            <w:r>
              <w:rPr>
                <w:sz w:val="20"/>
              </w:rPr>
              <w:t>Assent</w:t>
            </w:r>
          </w:p>
        </w:tc>
        <w:tc>
          <w:tcPr>
            <w:tcW w:w="1800" w:type="dxa"/>
            <w:tcBorders>
              <w:top w:val="single" w:sz="12" w:space="0" w:color="auto"/>
              <w:bottom w:val="single" w:sz="12" w:space="0" w:color="auto"/>
            </w:tcBorders>
          </w:tcPr>
          <w:p>
            <w:pPr>
              <w:pStyle w:val="nTable"/>
              <w:spacing w:before="120"/>
              <w:rPr>
                <w:sz w:val="20"/>
              </w:rPr>
            </w:pPr>
            <w:r>
              <w:rPr>
                <w:sz w:val="20"/>
              </w:rPr>
              <w:t>Commencement</w:t>
            </w:r>
          </w:p>
        </w:tc>
        <w:tc>
          <w:tcPr>
            <w:tcW w:w="1237" w:type="dxa"/>
            <w:tcBorders>
              <w:top w:val="single" w:sz="12" w:space="0" w:color="auto"/>
              <w:bottom w:val="single" w:sz="12" w:space="0" w:color="auto"/>
            </w:tcBorders>
          </w:tcPr>
          <w:p>
            <w:pPr>
              <w:pStyle w:val="nTable"/>
              <w:spacing w:before="120"/>
              <w:rPr>
                <w:sz w:val="20"/>
              </w:rPr>
            </w:pPr>
            <w:r>
              <w:rPr>
                <w:sz w:val="20"/>
              </w:rPr>
              <w:t>Miscellaneous</w:t>
            </w:r>
          </w:p>
        </w:tc>
      </w:tr>
      <w:tr>
        <w:trPr>
          <w:cantSplit/>
        </w:trPr>
        <w:tc>
          <w:tcPr>
            <w:tcW w:w="1620" w:type="dxa"/>
          </w:tcPr>
          <w:p>
            <w:pPr>
              <w:pStyle w:val="nTable"/>
              <w:spacing w:before="120"/>
              <w:ind w:right="170"/>
              <w:rPr>
                <w:sz w:val="20"/>
              </w:rPr>
            </w:pPr>
            <w:r>
              <w:rPr>
                <w:i/>
                <w:sz w:val="20"/>
              </w:rPr>
              <w:t>Alcohol and Drug Authority Act 1974</w:t>
            </w:r>
          </w:p>
        </w:tc>
        <w:tc>
          <w:tcPr>
            <w:tcW w:w="1080" w:type="dxa"/>
          </w:tcPr>
          <w:p>
            <w:pPr>
              <w:pStyle w:val="nTable"/>
              <w:spacing w:before="120"/>
              <w:rPr>
                <w:sz w:val="20"/>
              </w:rPr>
            </w:pPr>
            <w:r>
              <w:rPr>
                <w:sz w:val="20"/>
              </w:rPr>
              <w:t>32 of 1974</w:t>
            </w:r>
          </w:p>
        </w:tc>
        <w:tc>
          <w:tcPr>
            <w:tcW w:w="1170" w:type="dxa"/>
          </w:tcPr>
          <w:p>
            <w:pPr>
              <w:pStyle w:val="nTable"/>
              <w:spacing w:before="120"/>
            </w:pPr>
            <w:r>
              <w:rPr>
                <w:sz w:val="20"/>
              </w:rPr>
              <w:t>4 November 1974</w:t>
            </w:r>
          </w:p>
        </w:tc>
        <w:tc>
          <w:tcPr>
            <w:tcW w:w="1800" w:type="dxa"/>
          </w:tcPr>
          <w:p>
            <w:pPr>
              <w:pStyle w:val="nTable"/>
              <w:spacing w:before="120"/>
            </w:pPr>
            <w:r>
              <w:rPr>
                <w:sz w:val="20"/>
              </w:rPr>
              <w:t>29 November 1974 (see section 2 and </w:t>
            </w:r>
            <w:r>
              <w:rPr>
                <w:i/>
                <w:sz w:val="20"/>
              </w:rPr>
              <w:t>Gazette</w:t>
            </w:r>
            <w:r>
              <w:rPr>
                <w:sz w:val="20"/>
              </w:rPr>
              <w:t xml:space="preserve"> 29 November 1974 p.5167)</w:t>
            </w:r>
          </w:p>
        </w:tc>
        <w:tc>
          <w:tcPr>
            <w:tcW w:w="1237" w:type="dxa"/>
          </w:tcPr>
          <w:p>
            <w:pPr>
              <w:pStyle w:val="nTable"/>
              <w:spacing w:before="120"/>
              <w:rPr>
                <w:sz w:val="20"/>
              </w:rPr>
            </w:pPr>
          </w:p>
        </w:tc>
      </w:tr>
      <w:tr>
        <w:trPr>
          <w:cantSplit/>
        </w:trPr>
        <w:tc>
          <w:tcPr>
            <w:tcW w:w="1620" w:type="dxa"/>
          </w:tcPr>
          <w:p>
            <w:pPr>
              <w:pStyle w:val="nTable"/>
              <w:spacing w:before="120"/>
              <w:ind w:right="170"/>
              <w:rPr>
                <w:sz w:val="20"/>
              </w:rPr>
            </w:pPr>
            <w:r>
              <w:rPr>
                <w:i/>
                <w:sz w:val="20"/>
              </w:rPr>
              <w:t>Acts Amendment and Repeal (Disqualification for Parliament) Act 1984</w:t>
            </w:r>
            <w:r>
              <w:rPr>
                <w:sz w:val="20"/>
              </w:rPr>
              <w:t>,</w:t>
            </w:r>
          </w:p>
          <w:p>
            <w:pPr>
              <w:pStyle w:val="nTable"/>
              <w:spacing w:before="0"/>
              <w:ind w:right="170"/>
              <w:rPr>
                <w:sz w:val="20"/>
              </w:rPr>
            </w:pPr>
            <w:r>
              <w:rPr>
                <w:sz w:val="20"/>
              </w:rPr>
              <w:t>Part II</w:t>
            </w:r>
          </w:p>
        </w:tc>
        <w:tc>
          <w:tcPr>
            <w:tcW w:w="1080" w:type="dxa"/>
          </w:tcPr>
          <w:p>
            <w:pPr>
              <w:pStyle w:val="nTable"/>
              <w:spacing w:before="120"/>
              <w:rPr>
                <w:sz w:val="20"/>
              </w:rPr>
            </w:pPr>
            <w:r>
              <w:rPr>
                <w:sz w:val="20"/>
              </w:rPr>
              <w:t>78 of 1984</w:t>
            </w:r>
          </w:p>
        </w:tc>
        <w:tc>
          <w:tcPr>
            <w:tcW w:w="1170" w:type="dxa"/>
          </w:tcPr>
          <w:p>
            <w:pPr>
              <w:pStyle w:val="nTable"/>
              <w:spacing w:before="120"/>
            </w:pPr>
            <w:r>
              <w:rPr>
                <w:sz w:val="20"/>
              </w:rPr>
              <w:t>14 November 1984</w:t>
            </w:r>
          </w:p>
        </w:tc>
        <w:tc>
          <w:tcPr>
            <w:tcW w:w="1800" w:type="dxa"/>
          </w:tcPr>
          <w:p>
            <w:pPr>
              <w:pStyle w:val="nTable"/>
              <w:spacing w:before="120"/>
            </w:pPr>
            <w:r>
              <w:rPr>
                <w:sz w:val="20"/>
              </w:rPr>
              <w:t>1 July 1985 (see section 2 and </w:t>
            </w:r>
            <w:r>
              <w:rPr>
                <w:i/>
                <w:sz w:val="20"/>
              </w:rPr>
              <w:t xml:space="preserve">Gazette </w:t>
            </w:r>
            <w:r>
              <w:rPr>
                <w:sz w:val="20"/>
              </w:rPr>
              <w:t>17 May 1985 p.1671)</w:t>
            </w:r>
          </w:p>
        </w:tc>
        <w:tc>
          <w:tcPr>
            <w:tcW w:w="1237" w:type="dxa"/>
          </w:tcPr>
          <w:p>
            <w:pPr>
              <w:pStyle w:val="nTable"/>
              <w:spacing w:before="120"/>
              <w:rPr>
                <w:sz w:val="20"/>
              </w:rPr>
            </w:pPr>
          </w:p>
        </w:tc>
      </w:tr>
      <w:tr>
        <w:trPr>
          <w:cantSplit/>
        </w:trPr>
        <w:tc>
          <w:tcPr>
            <w:tcW w:w="1620" w:type="dxa"/>
          </w:tcPr>
          <w:p>
            <w:pPr>
              <w:pStyle w:val="nTable"/>
              <w:spacing w:before="120"/>
              <w:ind w:right="170"/>
              <w:rPr>
                <w:i/>
                <w:sz w:val="20"/>
              </w:rPr>
            </w:pPr>
            <w:r>
              <w:rPr>
                <w:i/>
                <w:sz w:val="20"/>
              </w:rPr>
              <w:t>Acts Amendment (Financial Administration and Audit) Act 1985</w:t>
            </w:r>
          </w:p>
          <w:p>
            <w:pPr>
              <w:pStyle w:val="nTable"/>
              <w:spacing w:before="0"/>
              <w:ind w:right="170"/>
              <w:rPr>
                <w:sz w:val="20"/>
              </w:rPr>
            </w:pPr>
            <w:r>
              <w:rPr>
                <w:sz w:val="20"/>
              </w:rPr>
              <w:t>(as amended by No. 4 of 1986),</w:t>
            </w:r>
          </w:p>
          <w:p>
            <w:pPr>
              <w:pStyle w:val="nTable"/>
              <w:spacing w:before="0"/>
              <w:ind w:right="170"/>
            </w:pPr>
            <w:r>
              <w:rPr>
                <w:sz w:val="20"/>
              </w:rPr>
              <w:t>section 3</w:t>
            </w:r>
          </w:p>
        </w:tc>
        <w:tc>
          <w:tcPr>
            <w:tcW w:w="1080" w:type="dxa"/>
          </w:tcPr>
          <w:p>
            <w:pPr>
              <w:pStyle w:val="nTable"/>
              <w:spacing w:before="120"/>
              <w:rPr>
                <w:sz w:val="20"/>
              </w:rPr>
            </w:pPr>
            <w:r>
              <w:rPr>
                <w:sz w:val="20"/>
              </w:rPr>
              <w:t>98 of 1985</w:t>
            </w:r>
          </w:p>
        </w:tc>
        <w:tc>
          <w:tcPr>
            <w:tcW w:w="1170" w:type="dxa"/>
          </w:tcPr>
          <w:p>
            <w:pPr>
              <w:pStyle w:val="nTable"/>
              <w:spacing w:before="120"/>
            </w:pPr>
            <w:r>
              <w:rPr>
                <w:sz w:val="20"/>
              </w:rPr>
              <w:t>4 December 1985</w:t>
            </w:r>
          </w:p>
        </w:tc>
        <w:tc>
          <w:tcPr>
            <w:tcW w:w="1800" w:type="dxa"/>
          </w:tcPr>
          <w:p>
            <w:pPr>
              <w:pStyle w:val="nTable"/>
              <w:spacing w:before="120"/>
            </w:pPr>
            <w:r>
              <w:rPr>
                <w:sz w:val="20"/>
              </w:rPr>
              <w:t>1 July 1986 (see section 2)</w:t>
            </w:r>
          </w:p>
        </w:tc>
        <w:tc>
          <w:tcPr>
            <w:tcW w:w="1237" w:type="dxa"/>
          </w:tcPr>
          <w:p>
            <w:pPr>
              <w:pStyle w:val="nTable"/>
              <w:spacing w:before="120"/>
              <w:rPr>
                <w:sz w:val="20"/>
              </w:rPr>
            </w:pPr>
          </w:p>
        </w:tc>
      </w:tr>
      <w:tr>
        <w:trPr>
          <w:cantSplit/>
        </w:trPr>
        <w:tc>
          <w:tcPr>
            <w:tcW w:w="1620" w:type="dxa"/>
          </w:tcPr>
          <w:p>
            <w:pPr>
              <w:pStyle w:val="nTable"/>
              <w:spacing w:before="120"/>
              <w:ind w:right="170"/>
              <w:rPr>
                <w:sz w:val="20"/>
              </w:rPr>
            </w:pPr>
            <w:r>
              <w:rPr>
                <w:i/>
                <w:sz w:val="20"/>
              </w:rPr>
              <w:t>Acts Amendment (Public Service) Act 1987</w:t>
            </w:r>
            <w:r>
              <w:rPr>
                <w:sz w:val="20"/>
              </w:rPr>
              <w:t>,</w:t>
            </w:r>
          </w:p>
          <w:p>
            <w:pPr>
              <w:pStyle w:val="nTable"/>
              <w:spacing w:before="0"/>
              <w:ind w:right="170"/>
            </w:pPr>
            <w:r>
              <w:rPr>
                <w:sz w:val="20"/>
              </w:rPr>
              <w:t>section 32</w:t>
            </w:r>
          </w:p>
        </w:tc>
        <w:tc>
          <w:tcPr>
            <w:tcW w:w="1080" w:type="dxa"/>
          </w:tcPr>
          <w:p>
            <w:pPr>
              <w:pStyle w:val="nTable"/>
              <w:spacing w:before="120"/>
              <w:rPr>
                <w:sz w:val="20"/>
              </w:rPr>
            </w:pPr>
            <w:r>
              <w:rPr>
                <w:sz w:val="20"/>
              </w:rPr>
              <w:t>113 of 1987</w:t>
            </w:r>
          </w:p>
        </w:tc>
        <w:tc>
          <w:tcPr>
            <w:tcW w:w="1170" w:type="dxa"/>
          </w:tcPr>
          <w:p>
            <w:pPr>
              <w:pStyle w:val="nTable"/>
              <w:spacing w:before="120"/>
            </w:pPr>
            <w:r>
              <w:rPr>
                <w:sz w:val="20"/>
              </w:rPr>
              <w:t>31 December 1987</w:t>
            </w:r>
          </w:p>
        </w:tc>
        <w:tc>
          <w:tcPr>
            <w:tcW w:w="1800" w:type="dxa"/>
          </w:tcPr>
          <w:p>
            <w:pPr>
              <w:pStyle w:val="nTable"/>
              <w:spacing w:before="120"/>
            </w:pPr>
            <w:r>
              <w:rPr>
                <w:sz w:val="20"/>
              </w:rPr>
              <w:t>16 March 1988 (see section 2 and </w:t>
            </w:r>
            <w:r>
              <w:rPr>
                <w:i/>
                <w:sz w:val="20"/>
              </w:rPr>
              <w:t xml:space="preserve">Gazette </w:t>
            </w:r>
            <w:r>
              <w:rPr>
                <w:sz w:val="20"/>
              </w:rPr>
              <w:t>16 March 1988 p.813)</w:t>
            </w:r>
          </w:p>
        </w:tc>
        <w:tc>
          <w:tcPr>
            <w:tcW w:w="1237" w:type="dxa"/>
          </w:tcPr>
          <w:p>
            <w:pPr>
              <w:pStyle w:val="nTable"/>
              <w:spacing w:before="120"/>
              <w:rPr>
                <w:sz w:val="20"/>
              </w:rPr>
            </w:pPr>
          </w:p>
        </w:tc>
      </w:tr>
      <w:tr>
        <w:trPr>
          <w:cantSplit/>
        </w:trPr>
        <w:tc>
          <w:tcPr>
            <w:tcW w:w="1620" w:type="dxa"/>
          </w:tcPr>
          <w:p>
            <w:pPr>
              <w:pStyle w:val="nTable"/>
              <w:spacing w:before="120"/>
              <w:ind w:right="170"/>
              <w:rPr>
                <w:sz w:val="20"/>
              </w:rPr>
            </w:pPr>
            <w:r>
              <w:rPr>
                <w:i/>
                <w:sz w:val="20"/>
              </w:rPr>
              <w:t>Guardianship and Administration Act 1990</w:t>
            </w:r>
            <w:r>
              <w:rPr>
                <w:sz w:val="20"/>
              </w:rPr>
              <w:t>,</w:t>
            </w:r>
          </w:p>
          <w:p>
            <w:pPr>
              <w:pStyle w:val="nTable"/>
              <w:spacing w:before="0"/>
              <w:ind w:right="170"/>
            </w:pPr>
            <w:r>
              <w:rPr>
                <w:sz w:val="20"/>
              </w:rPr>
              <w:t>section 123</w:t>
            </w:r>
          </w:p>
        </w:tc>
        <w:tc>
          <w:tcPr>
            <w:tcW w:w="1080" w:type="dxa"/>
          </w:tcPr>
          <w:p>
            <w:pPr>
              <w:pStyle w:val="nTable"/>
              <w:spacing w:before="120"/>
              <w:rPr>
                <w:sz w:val="20"/>
              </w:rPr>
            </w:pPr>
            <w:r>
              <w:rPr>
                <w:sz w:val="20"/>
              </w:rPr>
              <w:t>24 of 1990</w:t>
            </w:r>
          </w:p>
        </w:tc>
        <w:tc>
          <w:tcPr>
            <w:tcW w:w="1170" w:type="dxa"/>
          </w:tcPr>
          <w:p>
            <w:pPr>
              <w:pStyle w:val="nTable"/>
              <w:spacing w:before="120"/>
            </w:pPr>
            <w:r>
              <w:rPr>
                <w:sz w:val="20"/>
              </w:rPr>
              <w:t>7 September 1990</w:t>
            </w:r>
          </w:p>
        </w:tc>
        <w:tc>
          <w:tcPr>
            <w:tcW w:w="1800" w:type="dxa"/>
          </w:tcPr>
          <w:p>
            <w:pPr>
              <w:pStyle w:val="nTable"/>
              <w:spacing w:before="120"/>
            </w:pPr>
            <w:r>
              <w:rPr>
                <w:sz w:val="20"/>
              </w:rPr>
              <w:t>20 October 1992 (see </w:t>
            </w:r>
            <w:r>
              <w:rPr>
                <w:i/>
                <w:sz w:val="20"/>
              </w:rPr>
              <w:t>Gazette</w:t>
            </w:r>
            <w:r>
              <w:rPr>
                <w:sz w:val="20"/>
              </w:rPr>
              <w:t xml:space="preserve"> 2 October 1992 p.4811)</w:t>
            </w:r>
          </w:p>
        </w:tc>
        <w:tc>
          <w:tcPr>
            <w:tcW w:w="1237" w:type="dxa"/>
          </w:tcPr>
          <w:p>
            <w:pPr>
              <w:pStyle w:val="nTable"/>
              <w:spacing w:before="120"/>
              <w:rPr>
                <w:sz w:val="20"/>
              </w:rPr>
            </w:pPr>
          </w:p>
        </w:tc>
      </w:tr>
      <w:tr>
        <w:trPr>
          <w:cantSplit/>
        </w:trPr>
        <w:tc>
          <w:tcPr>
            <w:tcW w:w="1620" w:type="dxa"/>
          </w:tcPr>
          <w:p>
            <w:pPr>
              <w:pStyle w:val="nTable"/>
              <w:spacing w:before="120"/>
              <w:ind w:right="170"/>
              <w:rPr>
                <w:sz w:val="20"/>
              </w:rPr>
            </w:pPr>
            <w:r>
              <w:rPr>
                <w:i/>
                <w:sz w:val="20"/>
              </w:rPr>
              <w:t>Acts Amendment (Public Sector Management) Act 1994</w:t>
            </w:r>
            <w:r>
              <w:rPr>
                <w:sz w:val="20"/>
              </w:rPr>
              <w:t>,</w:t>
            </w:r>
          </w:p>
          <w:p>
            <w:pPr>
              <w:pStyle w:val="nTable"/>
              <w:spacing w:before="0"/>
              <w:ind w:right="170"/>
              <w:rPr>
                <w:sz w:val="20"/>
              </w:rPr>
            </w:pPr>
            <w:r>
              <w:rPr>
                <w:sz w:val="20"/>
              </w:rPr>
              <w:t>section 19</w:t>
            </w:r>
          </w:p>
        </w:tc>
        <w:tc>
          <w:tcPr>
            <w:tcW w:w="1080" w:type="dxa"/>
          </w:tcPr>
          <w:p>
            <w:pPr>
              <w:pStyle w:val="nTable"/>
              <w:spacing w:before="120"/>
              <w:rPr>
                <w:sz w:val="20"/>
              </w:rPr>
            </w:pPr>
            <w:r>
              <w:rPr>
                <w:sz w:val="20"/>
              </w:rPr>
              <w:t>32 of 1994</w:t>
            </w:r>
          </w:p>
        </w:tc>
        <w:tc>
          <w:tcPr>
            <w:tcW w:w="1170" w:type="dxa"/>
          </w:tcPr>
          <w:p>
            <w:pPr>
              <w:pStyle w:val="nTable"/>
              <w:spacing w:before="120"/>
            </w:pPr>
            <w:r>
              <w:rPr>
                <w:sz w:val="20"/>
              </w:rPr>
              <w:t>29 June 1994</w:t>
            </w:r>
          </w:p>
        </w:tc>
        <w:tc>
          <w:tcPr>
            <w:tcW w:w="1800" w:type="dxa"/>
          </w:tcPr>
          <w:p>
            <w:pPr>
              <w:pStyle w:val="nTable"/>
              <w:spacing w:before="120"/>
            </w:pPr>
            <w:r>
              <w:rPr>
                <w:sz w:val="20"/>
              </w:rPr>
              <w:t>1 October 1994 (see section 2 and </w:t>
            </w:r>
            <w:r>
              <w:rPr>
                <w:i/>
                <w:sz w:val="20"/>
              </w:rPr>
              <w:t>Gazette</w:t>
            </w:r>
            <w:r>
              <w:rPr>
                <w:sz w:val="20"/>
              </w:rPr>
              <w:t xml:space="preserve"> 30 September 1994 p.4948)</w:t>
            </w:r>
          </w:p>
        </w:tc>
        <w:tc>
          <w:tcPr>
            <w:tcW w:w="1237" w:type="dxa"/>
          </w:tcPr>
          <w:p>
            <w:pPr>
              <w:pStyle w:val="nTable"/>
              <w:spacing w:before="120"/>
              <w:rPr>
                <w:sz w:val="20"/>
              </w:rPr>
            </w:pPr>
          </w:p>
        </w:tc>
      </w:tr>
      <w:tr>
        <w:trPr>
          <w:cantSplit/>
        </w:trPr>
        <w:tc>
          <w:tcPr>
            <w:tcW w:w="1620" w:type="dxa"/>
          </w:tcPr>
          <w:p>
            <w:pPr>
              <w:pStyle w:val="nTable"/>
              <w:spacing w:before="120"/>
              <w:ind w:right="170"/>
              <w:rPr>
                <w:i/>
                <w:sz w:val="20"/>
              </w:rPr>
            </w:pPr>
            <w:r>
              <w:rPr>
                <w:i/>
                <w:sz w:val="20"/>
              </w:rPr>
              <w:t>Local Government (Consequential Amendments) Act 1996,</w:t>
            </w:r>
          </w:p>
          <w:p>
            <w:pPr>
              <w:pStyle w:val="nTable"/>
              <w:spacing w:before="0"/>
              <w:ind w:right="170"/>
            </w:pPr>
            <w:r>
              <w:rPr>
                <w:sz w:val="20"/>
              </w:rPr>
              <w:t>section 4</w:t>
            </w:r>
          </w:p>
        </w:tc>
        <w:tc>
          <w:tcPr>
            <w:tcW w:w="1080" w:type="dxa"/>
          </w:tcPr>
          <w:p>
            <w:pPr>
              <w:pStyle w:val="nTable"/>
              <w:keepNext/>
              <w:keepLines/>
              <w:spacing w:before="120"/>
              <w:rPr>
                <w:sz w:val="20"/>
              </w:rPr>
            </w:pPr>
            <w:r>
              <w:rPr>
                <w:sz w:val="20"/>
              </w:rPr>
              <w:t>14 of 1996</w:t>
            </w:r>
          </w:p>
        </w:tc>
        <w:tc>
          <w:tcPr>
            <w:tcW w:w="1170" w:type="dxa"/>
          </w:tcPr>
          <w:p>
            <w:pPr>
              <w:pStyle w:val="nTable"/>
              <w:spacing w:before="120"/>
            </w:pPr>
            <w:r>
              <w:rPr>
                <w:sz w:val="20"/>
              </w:rPr>
              <w:t>28 June 1996</w:t>
            </w:r>
          </w:p>
        </w:tc>
        <w:tc>
          <w:tcPr>
            <w:tcW w:w="1800" w:type="dxa"/>
          </w:tcPr>
          <w:p>
            <w:pPr>
              <w:pStyle w:val="nTable"/>
              <w:spacing w:before="120"/>
            </w:pPr>
            <w:r>
              <w:rPr>
                <w:sz w:val="20"/>
              </w:rPr>
              <w:t>1 July 1996 (see section 2)</w:t>
            </w:r>
          </w:p>
        </w:tc>
        <w:tc>
          <w:tcPr>
            <w:tcW w:w="1237" w:type="dxa"/>
          </w:tcPr>
          <w:p>
            <w:pPr>
              <w:pStyle w:val="nTable"/>
              <w:keepNext/>
              <w:keepLines/>
              <w:spacing w:before="120"/>
              <w:rPr>
                <w:sz w:val="20"/>
              </w:rPr>
            </w:pPr>
          </w:p>
        </w:tc>
      </w:tr>
      <w:tr>
        <w:trPr>
          <w:cantSplit/>
        </w:trPr>
        <w:tc>
          <w:tcPr>
            <w:tcW w:w="1620" w:type="dxa"/>
          </w:tcPr>
          <w:p>
            <w:pPr>
              <w:pStyle w:val="nTable"/>
              <w:spacing w:before="120"/>
              <w:ind w:right="170"/>
              <w:rPr>
                <w:spacing w:val="-2"/>
                <w:sz w:val="20"/>
              </w:rPr>
            </w:pPr>
            <w:r>
              <w:rPr>
                <w:i/>
                <w:spacing w:val="-2"/>
                <w:sz w:val="20"/>
              </w:rPr>
              <w:t>Financial Legislation Amendment Act 1996</w:t>
            </w:r>
            <w:r>
              <w:rPr>
                <w:spacing w:val="-2"/>
                <w:sz w:val="20"/>
              </w:rPr>
              <w:t>,</w:t>
            </w:r>
          </w:p>
          <w:p>
            <w:pPr>
              <w:pStyle w:val="nTable"/>
              <w:spacing w:before="0"/>
              <w:ind w:right="170"/>
            </w:pPr>
            <w:r>
              <w:rPr>
                <w:spacing w:val="-2"/>
                <w:sz w:val="20"/>
              </w:rPr>
              <w:t>Sections 48 and 64</w:t>
            </w:r>
          </w:p>
        </w:tc>
        <w:tc>
          <w:tcPr>
            <w:tcW w:w="1080" w:type="dxa"/>
          </w:tcPr>
          <w:p>
            <w:pPr>
              <w:pStyle w:val="nTable"/>
              <w:spacing w:before="120"/>
              <w:rPr>
                <w:spacing w:val="-2"/>
                <w:sz w:val="20"/>
              </w:rPr>
            </w:pPr>
            <w:r>
              <w:rPr>
                <w:spacing w:val="-2"/>
                <w:sz w:val="20"/>
              </w:rPr>
              <w:t>49 of 1996</w:t>
            </w:r>
          </w:p>
        </w:tc>
        <w:tc>
          <w:tcPr>
            <w:tcW w:w="1170" w:type="dxa"/>
          </w:tcPr>
          <w:p>
            <w:pPr>
              <w:pStyle w:val="nTable"/>
              <w:spacing w:before="120"/>
            </w:pPr>
            <w:r>
              <w:rPr>
                <w:spacing w:val="-2"/>
                <w:sz w:val="20"/>
              </w:rPr>
              <w:t>25 October 1996</w:t>
            </w:r>
          </w:p>
        </w:tc>
        <w:tc>
          <w:tcPr>
            <w:tcW w:w="1800" w:type="dxa"/>
          </w:tcPr>
          <w:p>
            <w:pPr>
              <w:pStyle w:val="nTable"/>
              <w:spacing w:before="120"/>
            </w:pPr>
            <w:r>
              <w:rPr>
                <w:spacing w:val="-2"/>
                <w:sz w:val="20"/>
              </w:rPr>
              <w:t>25 October 1996 (see section 2(1))</w:t>
            </w:r>
          </w:p>
        </w:tc>
        <w:tc>
          <w:tcPr>
            <w:tcW w:w="1237" w:type="dxa"/>
          </w:tcPr>
          <w:p>
            <w:pPr>
              <w:pStyle w:val="nTable"/>
              <w:spacing w:before="120"/>
              <w:rPr>
                <w:spacing w:val="-2"/>
                <w:sz w:val="20"/>
              </w:rPr>
            </w:pPr>
          </w:p>
        </w:tc>
      </w:tr>
      <w:tr>
        <w:trPr>
          <w:cantSplit/>
        </w:trPr>
        <w:tc>
          <w:tcPr>
            <w:tcW w:w="1620" w:type="dxa"/>
          </w:tcPr>
          <w:p>
            <w:pPr>
              <w:pStyle w:val="nTable"/>
              <w:spacing w:before="120"/>
              <w:ind w:right="170"/>
              <w:rPr>
                <w:spacing w:val="-2"/>
                <w:sz w:val="20"/>
              </w:rPr>
            </w:pPr>
            <w:r>
              <w:rPr>
                <w:i/>
                <w:spacing w:val="-2"/>
                <w:sz w:val="20"/>
              </w:rPr>
              <w:t>Trustees Amendment Act 1997</w:t>
            </w:r>
            <w:r>
              <w:rPr>
                <w:spacing w:val="-2"/>
                <w:sz w:val="20"/>
              </w:rPr>
              <w:t>,</w:t>
            </w:r>
          </w:p>
          <w:p>
            <w:pPr>
              <w:pStyle w:val="nTable"/>
              <w:spacing w:before="0"/>
              <w:ind w:right="170"/>
            </w:pPr>
            <w:r>
              <w:rPr>
                <w:spacing w:val="-2"/>
                <w:sz w:val="20"/>
              </w:rPr>
              <w:t>section 18</w:t>
            </w:r>
          </w:p>
        </w:tc>
        <w:tc>
          <w:tcPr>
            <w:tcW w:w="1080" w:type="dxa"/>
          </w:tcPr>
          <w:p>
            <w:pPr>
              <w:pStyle w:val="nTable"/>
              <w:spacing w:before="120"/>
              <w:rPr>
                <w:spacing w:val="-2"/>
                <w:sz w:val="20"/>
              </w:rPr>
            </w:pPr>
            <w:r>
              <w:rPr>
                <w:spacing w:val="-2"/>
                <w:sz w:val="20"/>
              </w:rPr>
              <w:t>1 of 1997</w:t>
            </w:r>
          </w:p>
        </w:tc>
        <w:tc>
          <w:tcPr>
            <w:tcW w:w="1170" w:type="dxa"/>
          </w:tcPr>
          <w:p>
            <w:pPr>
              <w:pStyle w:val="nTable"/>
              <w:spacing w:before="120"/>
            </w:pPr>
            <w:r>
              <w:rPr>
                <w:spacing w:val="-2"/>
                <w:sz w:val="20"/>
              </w:rPr>
              <w:t>6 May 1997</w:t>
            </w:r>
          </w:p>
        </w:tc>
        <w:tc>
          <w:tcPr>
            <w:tcW w:w="1800" w:type="dxa"/>
          </w:tcPr>
          <w:p>
            <w:pPr>
              <w:pStyle w:val="nTable"/>
              <w:spacing w:before="120"/>
            </w:pPr>
            <w:r>
              <w:rPr>
                <w:spacing w:val="-2"/>
                <w:sz w:val="20"/>
              </w:rPr>
              <w:t>16 June 1997 (see section 2 and </w:t>
            </w:r>
            <w:r>
              <w:rPr>
                <w:i/>
                <w:spacing w:val="-2"/>
                <w:sz w:val="20"/>
              </w:rPr>
              <w:t>Gazette</w:t>
            </w:r>
            <w:r>
              <w:rPr>
                <w:spacing w:val="-2"/>
                <w:sz w:val="20"/>
              </w:rPr>
              <w:t xml:space="preserve"> 10 June 1997 p.2661)</w:t>
            </w:r>
          </w:p>
        </w:tc>
        <w:tc>
          <w:tcPr>
            <w:tcW w:w="1237" w:type="dxa"/>
          </w:tcPr>
          <w:p>
            <w:pPr>
              <w:pStyle w:val="nTable"/>
              <w:spacing w:before="120"/>
              <w:rPr>
                <w:spacing w:val="-2"/>
                <w:sz w:val="20"/>
              </w:rPr>
            </w:pPr>
          </w:p>
        </w:tc>
      </w:tr>
      <w:tr>
        <w:trPr>
          <w:cantSplit/>
        </w:trPr>
        <w:tc>
          <w:tcPr>
            <w:tcW w:w="1620" w:type="dxa"/>
            <w:tcBorders>
              <w:bottom w:val="single" w:sz="4" w:space="0" w:color="auto"/>
            </w:tcBorders>
          </w:tcPr>
          <w:p>
            <w:pPr>
              <w:pStyle w:val="nTable"/>
              <w:spacing w:before="120"/>
              <w:ind w:right="170"/>
              <w:rPr>
                <w:spacing w:val="-2"/>
                <w:sz w:val="20"/>
              </w:rPr>
            </w:pPr>
            <w:r>
              <w:rPr>
                <w:i/>
                <w:spacing w:val="-2"/>
                <w:sz w:val="20"/>
              </w:rPr>
              <w:t>Statutes (Repeals and Minor Amendments) Act (No. 2) 1998</w:t>
            </w:r>
            <w:r>
              <w:rPr>
                <w:spacing w:val="-2"/>
                <w:sz w:val="20"/>
              </w:rPr>
              <w:t>,</w:t>
            </w:r>
          </w:p>
          <w:p>
            <w:pPr>
              <w:pStyle w:val="nTable"/>
              <w:spacing w:before="0"/>
              <w:ind w:right="170"/>
            </w:pPr>
            <w:r>
              <w:rPr>
                <w:spacing w:val="-2"/>
                <w:sz w:val="20"/>
              </w:rPr>
              <w:t>section 76</w:t>
            </w:r>
          </w:p>
        </w:tc>
        <w:tc>
          <w:tcPr>
            <w:tcW w:w="1080" w:type="dxa"/>
            <w:tcBorders>
              <w:bottom w:val="single" w:sz="4" w:space="0" w:color="auto"/>
            </w:tcBorders>
          </w:tcPr>
          <w:p>
            <w:pPr>
              <w:pStyle w:val="nTable"/>
              <w:spacing w:before="120"/>
              <w:rPr>
                <w:spacing w:val="-2"/>
                <w:sz w:val="20"/>
              </w:rPr>
            </w:pPr>
            <w:r>
              <w:rPr>
                <w:spacing w:val="-2"/>
                <w:sz w:val="20"/>
              </w:rPr>
              <w:t>10 of 1998</w:t>
            </w:r>
          </w:p>
        </w:tc>
        <w:tc>
          <w:tcPr>
            <w:tcW w:w="1170" w:type="dxa"/>
            <w:tcBorders>
              <w:bottom w:val="single" w:sz="4" w:space="0" w:color="auto"/>
            </w:tcBorders>
          </w:tcPr>
          <w:p>
            <w:pPr>
              <w:pStyle w:val="nTable"/>
              <w:spacing w:before="120"/>
            </w:pPr>
            <w:r>
              <w:rPr>
                <w:spacing w:val="-2"/>
                <w:sz w:val="20"/>
              </w:rPr>
              <w:t>30 April 1998</w:t>
            </w:r>
          </w:p>
        </w:tc>
        <w:tc>
          <w:tcPr>
            <w:tcW w:w="1800" w:type="dxa"/>
            <w:tcBorders>
              <w:bottom w:val="single" w:sz="4" w:space="0" w:color="auto"/>
            </w:tcBorders>
          </w:tcPr>
          <w:p>
            <w:pPr>
              <w:pStyle w:val="nTable"/>
              <w:spacing w:before="120"/>
            </w:pPr>
            <w:r>
              <w:rPr>
                <w:spacing w:val="-2"/>
                <w:sz w:val="20"/>
              </w:rPr>
              <w:t>30 April 1998 (see section 2(1))</w:t>
            </w:r>
          </w:p>
        </w:tc>
        <w:tc>
          <w:tcPr>
            <w:tcW w:w="1237" w:type="dxa"/>
            <w:tcBorders>
              <w:bottom w:val="single" w:sz="4" w:space="0" w:color="auto"/>
            </w:tcBorders>
          </w:tcPr>
          <w:p>
            <w:pPr>
              <w:pStyle w:val="nTable"/>
              <w:spacing w:before="120"/>
              <w:rPr>
                <w:spacing w:val="-2"/>
                <w:sz w:val="20"/>
              </w:rPr>
            </w:pP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rPr>
          <w:snapToGrid w:val="0"/>
        </w:rPr>
      </w:pPr>
      <w:bookmarkStart w:id="98" w:name="_Toc511102521"/>
      <w:bookmarkStart w:id="99" w:name="_Toc517588271"/>
      <w:bookmarkStart w:id="100" w:name="_Toc518096120"/>
      <w:r>
        <w:rPr>
          <w:snapToGrid w:val="0"/>
        </w:rPr>
        <w:t>Provisions that have not come into operation</w:t>
      </w:r>
      <w:bookmarkEnd w:id="98"/>
      <w:bookmarkEnd w:id="99"/>
      <w:bookmarkEnd w:id="10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tcBorders>
          </w:tcPr>
          <w:p>
            <w:pPr>
              <w:pStyle w:val="nTable"/>
              <w:keepNext/>
              <w:spacing w:after="60"/>
              <w:rPr>
                <w:b/>
                <w:sz w:val="19"/>
              </w:rPr>
            </w:pPr>
            <w:r>
              <w:rPr>
                <w:b/>
                <w:sz w:val="19"/>
              </w:rPr>
              <w:t>Number and year</w:t>
            </w:r>
          </w:p>
        </w:tc>
        <w:tc>
          <w:tcPr>
            <w:tcW w:w="1134" w:type="dxa"/>
            <w:tcBorders>
              <w:top w:val="single" w:sz="8" w:space="0" w:color="auto"/>
            </w:tcBorders>
          </w:tcPr>
          <w:p>
            <w:pPr>
              <w:pStyle w:val="nTable"/>
              <w:keepNext/>
              <w:spacing w:after="60"/>
              <w:rPr>
                <w:b/>
                <w:sz w:val="19"/>
              </w:rPr>
            </w:pPr>
            <w:r>
              <w:rPr>
                <w:b/>
                <w:sz w:val="19"/>
              </w:rPr>
              <w:t>Assent</w:t>
            </w:r>
          </w:p>
        </w:tc>
        <w:tc>
          <w:tcPr>
            <w:tcW w:w="2552" w:type="dxa"/>
            <w:tcBorders>
              <w:top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napToGrid w:val="0"/>
              </w:rPr>
              <w:t>State Superannuation  (Transitional and Consequential Provisions) Act 2000</w:t>
            </w:r>
            <w:r>
              <w:rPr>
                <w:snapToGrid w:val="0"/>
              </w:rPr>
              <w:t xml:space="preserve"> s. 29 </w:t>
            </w:r>
            <w:r>
              <w:rPr>
                <w:snapToGrid w:val="0"/>
                <w:vertAlign w:val="superscript"/>
              </w:rPr>
              <w:t>7</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2(2))</w:t>
            </w:r>
          </w:p>
        </w:tc>
      </w:tr>
    </w:tbl>
    <w:p>
      <w:pPr>
        <w:pStyle w:val="nSubsection"/>
        <w:spacing w:before="120"/>
        <w:ind w:left="0" w:firstLine="0"/>
      </w:pPr>
      <w:r>
        <w:rPr>
          <w:vertAlign w:val="superscript"/>
        </w:rPr>
        <w:t>2</w:t>
      </w:r>
      <w:r>
        <w:rPr>
          <w:vertAlign w:val="superscript"/>
        </w:rPr>
        <w:tab/>
      </w:r>
      <w:r>
        <w:t xml:space="preserve">Repealed by the </w:t>
      </w:r>
      <w:r>
        <w:rPr>
          <w:i/>
        </w:rPr>
        <w:t>Industrial Relations Act 1979</w:t>
      </w:r>
      <w:r>
        <w:t xml:space="preserve"> (Act No. 114 of 1979).</w:t>
      </w:r>
    </w:p>
    <w:p>
      <w:pPr>
        <w:pStyle w:val="nSubsection"/>
        <w:spacing w:before="120"/>
      </w:pPr>
      <w:r>
        <w:rPr>
          <w:vertAlign w:val="superscript"/>
        </w:rPr>
        <w:t>3</w:t>
      </w:r>
      <w:r>
        <w:tab/>
        <w:t xml:space="preserve">Repealed by the </w:t>
      </w:r>
      <w:r>
        <w:rPr>
          <w:i/>
        </w:rPr>
        <w:t>Acts Amendment and Repeal (Industrial Relations) Act (No. 2) 1984 (Act No. 94 of 1984)</w:t>
      </w:r>
      <w:r>
        <w:t>, section 83.</w:t>
      </w:r>
    </w:p>
    <w:p>
      <w:pPr>
        <w:pStyle w:val="nSubsection"/>
        <w:spacing w:before="120"/>
        <w:ind w:left="0" w:firstLine="0"/>
      </w:pPr>
      <w:r>
        <w:rPr>
          <w:vertAlign w:val="superscript"/>
        </w:rPr>
        <w:t>4</w:t>
      </w:r>
      <w:r>
        <w:rPr>
          <w:vertAlign w:val="superscript"/>
        </w:rPr>
        <w:tab/>
      </w:r>
      <w:r>
        <w:t xml:space="preserve">Repealed by the </w:t>
      </w:r>
      <w:r>
        <w:rPr>
          <w:i/>
        </w:rPr>
        <w:t>Public Sector Management Act 1994</w:t>
      </w:r>
      <w:r>
        <w:t xml:space="preserve"> (Act No. 31 of 1994).</w:t>
      </w:r>
    </w:p>
    <w:p>
      <w:pPr>
        <w:pStyle w:val="nSubsection"/>
        <w:spacing w:before="120"/>
        <w:ind w:left="0" w:firstLine="0"/>
      </w:pPr>
      <w:r>
        <w:rPr>
          <w:vertAlign w:val="superscript"/>
        </w:rPr>
        <w:t>5</w:t>
      </w:r>
      <w:r>
        <w:tab/>
        <w:t xml:space="preserve">Repealed by the </w:t>
      </w:r>
      <w:r>
        <w:rPr>
          <w:i/>
        </w:rPr>
        <w:t>Public Service Act</w:t>
      </w:r>
      <w:r>
        <w:t xml:space="preserve"> </w:t>
      </w:r>
      <w:r>
        <w:rPr>
          <w:i/>
        </w:rPr>
        <w:t>1978</w:t>
      </w:r>
      <w:r>
        <w:t xml:space="preserve"> (Act No. 86 of 1978).</w:t>
      </w:r>
    </w:p>
    <w:p>
      <w:pPr>
        <w:pStyle w:val="nSubsection"/>
        <w:ind w:left="426" w:hanging="426"/>
      </w:pPr>
      <w:r>
        <w:rPr>
          <w:vertAlign w:val="superscript"/>
        </w:rPr>
        <w:t>6</w:t>
      </w:r>
      <w:r>
        <w:tab/>
        <w:t xml:space="preserve">The </w:t>
      </w:r>
      <w:r>
        <w:rPr>
          <w:i/>
        </w:rPr>
        <w:t>Trustees Amendment Act 1997</w:t>
      </w:r>
      <w:r>
        <w:t xml:space="preserve"> (Act No. 1 of 1997) came into operation on 16 June 1997. </w:t>
      </w:r>
    </w:p>
    <w:p>
      <w:pPr>
        <w:pStyle w:val="nSubsection"/>
        <w:ind w:left="426" w:hanging="426"/>
      </w:pPr>
      <w:r>
        <w:rPr>
          <w:snapToGrid w:val="0"/>
          <w:vertAlign w:val="superscript"/>
        </w:rPr>
        <w:t>7</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29 had not come into operation.  It reads:</w:t>
      </w:r>
    </w:p>
    <w:p>
      <w:pPr>
        <w:pStyle w:val="MiscOpen"/>
      </w:pPr>
      <w:r>
        <w:t>“</w:t>
      </w:r>
    </w:p>
    <w:p>
      <w:pPr>
        <w:pStyle w:val="nzHeading5"/>
      </w:pPr>
      <w:bookmarkStart w:id="101" w:name="_Toc497533348"/>
      <w:r>
        <w:rPr>
          <w:rStyle w:val="CharSectno"/>
        </w:rPr>
        <w:t>29</w:t>
      </w:r>
      <w:r>
        <w:t>.</w:t>
      </w:r>
      <w:r>
        <w:tab/>
      </w:r>
      <w:r>
        <w:rPr>
          <w:i/>
        </w:rPr>
        <w:t>Alcohol and Drug Authority Act 1974</w:t>
      </w:r>
      <w:r>
        <w:t xml:space="preserve"> amended</w:t>
      </w:r>
      <w:bookmarkEnd w:id="101"/>
    </w:p>
    <w:p>
      <w:pPr>
        <w:pStyle w:val="nzSubsection"/>
      </w:pPr>
      <w:r>
        <w:tab/>
      </w:r>
      <w:r>
        <w:tab/>
        <w:t xml:space="preserve">The </w:t>
      </w:r>
      <w:r>
        <w:rPr>
          <w:i/>
        </w:rPr>
        <w:t xml:space="preserve">Alcohol and Drug Authority Act 1974 </w:t>
      </w:r>
      <w:r>
        <w:t>is amended as follows:</w:t>
      </w:r>
    </w:p>
    <w:p>
      <w:pPr>
        <w:pStyle w:val="nzIndenta"/>
      </w:pPr>
      <w:r>
        <w:tab/>
        <w:t>(a)</w:t>
      </w:r>
      <w:r>
        <w:tab/>
        <w:t xml:space="preserve">in section 21(3)(a) by deleting “, and, subject to section 22, in particular his rights if any under the </w:t>
      </w:r>
      <w:r>
        <w:rPr>
          <w:i/>
        </w:rPr>
        <w:t>Superannuation and Family Benefits Act 1938</w:t>
      </w:r>
      <w:r>
        <w:t>”;</w:t>
      </w:r>
    </w:p>
    <w:p>
      <w:pPr>
        <w:pStyle w:val="nzIndenta"/>
      </w:pPr>
      <w:r>
        <w:tab/>
        <w:t>(b)</w:t>
      </w:r>
      <w:r>
        <w:tab/>
        <w:t>by repealing section 22.</w:t>
      </w:r>
    </w:p>
    <w:p>
      <w:pPr>
        <w:pStyle w:val="MiscClose"/>
      </w:pPr>
      <w:r>
        <w:t>”.</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sect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2000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Alcohol and Drug Authority Act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Alcohol and Drug Authority Act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Alcohol and Drug Authority Act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4"/>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yFootnoteheading">
    <w:name w:val="yFootnote(heading)"/>
    <w:basedOn w:val="Footnoteheading"/>
    <w:rPr>
      <w:sz w:val="22"/>
    </w:rPr>
  </w:style>
  <w:style w:type="paragraph" w:customStyle="1" w:styleId="yTable0">
    <w:name w:val="yTable"/>
    <w:basedOn w:val="Table"/>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spacing w:line="240" w:lineRule="auto"/>
      <w:ind w:left="567" w:right="284"/>
    </w:pPr>
  </w:style>
  <w:style w:type="paragraph" w:customStyle="1" w:styleId="nzMiscellaneousHeading">
    <w:name w:val="nzMiscellaneous Heading"/>
    <w:basedOn w:val="zMiscellaneousHeading"/>
    <w:pPr>
      <w:spacing w:before="80" w:line="240" w:lineRule="auto"/>
      <w:jc w:val="center"/>
    </w:pPr>
    <w:rPr>
      <w:sz w:val="20"/>
    </w:rPr>
  </w:style>
  <w:style w:type="paragraph" w:customStyle="1" w:styleId="yMiscellaneousHeading">
    <w:name w:val="yMiscellaneous Heading"/>
    <w:basedOn w:val="MiscellaneousHeading"/>
    <w:pPr>
      <w:spacing w:line="240" w:lineRule="auto"/>
      <w:jc w:val="center"/>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keepNext w:val="0"/>
      <w:spacing w:line="240" w:lineRule="auto"/>
    </w:pPr>
    <w:rPr>
      <w:sz w:val="22"/>
    </w:rPr>
  </w:style>
  <w:style w:type="paragraph" w:customStyle="1" w:styleId="zyMiscellaneousHeading">
    <w:name w:val="zyMiscellaneous Heading"/>
    <w:basedOn w:val="zMiscellaneousHeading"/>
    <w:pPr>
      <w:spacing w:line="240" w:lineRule="auto"/>
      <w:jc w:val="center"/>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spacing w:before="160"/>
    </w:pPr>
    <w:rPr>
      <w:rFonts w:ascii="Arial" w:hAnsi="Arial"/>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line="240" w:lineRule="auto"/>
      <w:ind w:left="890" w:hanging="890"/>
      <w:outlineLvl w:val="1"/>
    </w:pPr>
  </w:style>
  <w:style w:type="paragraph" w:customStyle="1" w:styleId="yNumberedItem">
    <w:name w:val="yNumberedItem"/>
    <w:basedOn w:val="yHeading5"/>
    <w:pPr>
      <w:keepNext w:val="0"/>
      <w:keepLines w:val="0"/>
      <w:spacing w:before="120" w:line="240" w:lineRule="auto"/>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left" w:pos="1446"/>
      </w:tabs>
      <w:spacing w:before="40"/>
      <w:ind w:left="1446" w:right="284" w:hanging="879"/>
    </w:pPr>
    <w:rPr>
      <w:rFonts w:ascii="Arial" w:hAnsi="Arial"/>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4"/>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yFootnoteheading">
    <w:name w:val="yFootnote(heading)"/>
    <w:basedOn w:val="Footnoteheading"/>
    <w:rPr>
      <w:sz w:val="22"/>
    </w:rPr>
  </w:style>
  <w:style w:type="paragraph" w:customStyle="1" w:styleId="yTable0">
    <w:name w:val="yTable"/>
    <w:basedOn w:val="Table"/>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spacing w:line="240" w:lineRule="auto"/>
      <w:ind w:left="567" w:right="284"/>
    </w:pPr>
  </w:style>
  <w:style w:type="paragraph" w:customStyle="1" w:styleId="nzMiscellaneousHeading">
    <w:name w:val="nzMiscellaneous Heading"/>
    <w:basedOn w:val="zMiscellaneousHeading"/>
    <w:pPr>
      <w:spacing w:before="80" w:line="240" w:lineRule="auto"/>
      <w:jc w:val="center"/>
    </w:pPr>
    <w:rPr>
      <w:sz w:val="20"/>
    </w:rPr>
  </w:style>
  <w:style w:type="paragraph" w:customStyle="1" w:styleId="yMiscellaneousHeading">
    <w:name w:val="yMiscellaneous Heading"/>
    <w:basedOn w:val="MiscellaneousHeading"/>
    <w:pPr>
      <w:spacing w:line="240" w:lineRule="auto"/>
      <w:jc w:val="center"/>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keepNext w:val="0"/>
      <w:spacing w:line="240" w:lineRule="auto"/>
    </w:pPr>
    <w:rPr>
      <w:sz w:val="22"/>
    </w:rPr>
  </w:style>
  <w:style w:type="paragraph" w:customStyle="1" w:styleId="zyMiscellaneousHeading">
    <w:name w:val="zyMiscellaneous Heading"/>
    <w:basedOn w:val="zMiscellaneousHeading"/>
    <w:pPr>
      <w:spacing w:line="240" w:lineRule="auto"/>
      <w:jc w:val="center"/>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spacing w:before="160"/>
    </w:pPr>
    <w:rPr>
      <w:rFonts w:ascii="Arial" w:hAnsi="Arial"/>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line="240" w:lineRule="auto"/>
      <w:ind w:left="890" w:hanging="890"/>
      <w:outlineLvl w:val="1"/>
    </w:pPr>
  </w:style>
  <w:style w:type="paragraph" w:customStyle="1" w:styleId="yNumberedItem">
    <w:name w:val="yNumberedItem"/>
    <w:basedOn w:val="yHeading5"/>
    <w:pPr>
      <w:keepNext w:val="0"/>
      <w:keepLines w:val="0"/>
      <w:spacing w:before="120" w:line="240" w:lineRule="auto"/>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left" w:pos="1446"/>
      </w:tabs>
      <w:spacing w:before="40"/>
      <w:ind w:left="1446" w:right="284" w:hanging="879"/>
    </w:pPr>
    <w:rPr>
      <w:rFonts w:ascii="Arial" w:hAnsi="Arial"/>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4454</Words>
  <Characters>21606</Characters>
  <Application>Microsoft Office Word</Application>
  <DocSecurity>0</DocSecurity>
  <Lines>675</Lines>
  <Paragraphs>377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Drug Authority Act 1974 - 01-b0-06</dc:title>
  <dc:subject/>
  <dc:creator/>
  <cp:keywords/>
  <dc:description/>
  <cp:lastModifiedBy>svcMRProcess</cp:lastModifiedBy>
  <cp:revision>4</cp:revision>
  <cp:lastPrinted>1999-05-14T06:59:00Z</cp:lastPrinted>
  <dcterms:created xsi:type="dcterms:W3CDTF">2018-08-20T03:07:00Z</dcterms:created>
  <dcterms:modified xsi:type="dcterms:W3CDTF">2018-08-20T03:07:00Z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1974</vt:lpwstr>
  </property>
  <property fmtid="{D5CDD505-2E9C-101B-9397-08002B2CF9AE}" pid="3" name="CommencementDate">
    <vt:lpwstr>20001102</vt:lpwstr>
  </property>
  <property fmtid="{D5CDD505-2E9C-101B-9397-08002B2CF9AE}" pid="4" name="DocumentType">
    <vt:lpwstr>Act</vt:lpwstr>
  </property>
  <property fmtid="{D5CDD505-2E9C-101B-9397-08002B2CF9AE}" pid="5" name="AsAtDate">
    <vt:lpwstr>02 Nov 2000</vt:lpwstr>
  </property>
  <property fmtid="{D5CDD505-2E9C-101B-9397-08002B2CF9AE}" pid="6" name="Suffix">
    <vt:lpwstr>01-b0-06</vt:lpwstr>
  </property>
</Properties>
</file>