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(Commencement of Amendments)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Act (Commencement of Amendments) Act 1987</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_Toc416702577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_Toc416702578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Variation of commencement date</w:t>
      </w:r>
      <w:r>
        <w:tab/>
      </w:r>
      <w:r>
        <w:fldChar w:fldCharType="begin"/>
      </w:r>
      <w:r>
        <w:instrText xml:space="preserve"> PAGEREF _Toc416702579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Validation</w:t>
      </w:r>
      <w:r>
        <w:tab/>
      </w:r>
      <w:r>
        <w:fldChar w:fldCharType="begin"/>
      </w:r>
      <w:r>
        <w:instrText xml:space="preserve"> PAGEREF _Toc416702580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Electoral qualification not affected</w:t>
      </w:r>
      <w:r>
        <w:tab/>
      </w:r>
      <w:r>
        <w:fldChar w:fldCharType="begin"/>
      </w:r>
      <w:r>
        <w:instrText xml:space="preserve"> PAGEREF _Toc416702581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_Toc416702583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Electoral Act (Commencement of Amendments) Act 1987</w:t>
      </w:r>
    </w:p>
    <w:p>
      <w:pPr>
        <w:pStyle w:val="LongTitle"/>
        <w:rPr>
          <w:snapToGrid w:val="0"/>
        </w:rPr>
      </w:pPr>
      <w:r>
        <w:rPr>
          <w:snapToGrid w:val="0"/>
        </w:rPr>
        <w:t xml:space="preserve">An Act to provide for the commencement of the </w:t>
      </w:r>
      <w:r>
        <w:rPr>
          <w:i/>
          <w:iCs/>
          <w:snapToGrid w:val="0"/>
        </w:rPr>
        <w:t>Electoral Amendment Act (No. 2) 1985</w:t>
      </w:r>
      <w:r>
        <w:rPr>
          <w:snapToGrid w:val="0"/>
        </w:rPr>
        <w:t xml:space="preserve"> and for incidental and other purposes.</w:t>
      </w:r>
    </w:p>
    <w:p>
      <w:pPr>
        <w:pStyle w:val="Heading5"/>
        <w:rPr>
          <w:snapToGrid w:val="0"/>
        </w:rPr>
      </w:pPr>
      <w:bookmarkStart w:id="3" w:name="_Toc421523523"/>
      <w:bookmarkStart w:id="4" w:name="_Toc476619102"/>
      <w:bookmarkStart w:id="5" w:name="_Toc510941815"/>
      <w:bookmarkStart w:id="6" w:name="_Toc512403473"/>
      <w:bookmarkStart w:id="7" w:name="_Toc512403616"/>
      <w:bookmarkStart w:id="8" w:name="_Toc36369340"/>
      <w:bookmarkStart w:id="9" w:name="_Toc154224465"/>
      <w:bookmarkStart w:id="10" w:name="_Toc416702577"/>
      <w:r>
        <w:rPr>
          <w:rStyle w:val="CharSectno"/>
        </w:rPr>
        <w:t>1</w:t>
      </w:r>
      <w:r>
        <w:rPr>
          <w:snapToGrid w:val="0"/>
        </w:rPr>
        <w:t>.</w:t>
      </w:r>
      <w:r>
        <w:rPr>
          <w:snapToGrid w:val="0"/>
        </w:rPr>
        <w:tab/>
        <w:t>Short title</w:t>
      </w:r>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iCs/>
          <w:snapToGrid w:val="0"/>
        </w:rPr>
        <w:t>Electoral Act (Commencement of Amendments) Act 1987</w:t>
      </w:r>
      <w:r>
        <w:rPr>
          <w:snapToGrid w:val="0"/>
        </w:rPr>
        <w:t xml:space="preserve"> </w:t>
      </w:r>
      <w:r>
        <w:rPr>
          <w:snapToGrid w:val="0"/>
          <w:vertAlign w:val="superscript"/>
        </w:rPr>
        <w:t>1</w:t>
      </w:r>
      <w:r>
        <w:rPr>
          <w:snapToGrid w:val="0"/>
        </w:rPr>
        <w:t>.</w:t>
      </w:r>
    </w:p>
    <w:p>
      <w:pPr>
        <w:pStyle w:val="Heading5"/>
        <w:rPr>
          <w:snapToGrid w:val="0"/>
        </w:rPr>
      </w:pPr>
      <w:bookmarkStart w:id="11" w:name="_Toc421523524"/>
      <w:bookmarkStart w:id="12" w:name="_Toc476619103"/>
      <w:bookmarkStart w:id="13" w:name="_Toc510941816"/>
      <w:bookmarkStart w:id="14" w:name="_Toc512403474"/>
      <w:bookmarkStart w:id="15" w:name="_Toc512403617"/>
      <w:bookmarkStart w:id="16" w:name="_Toc36369341"/>
      <w:bookmarkStart w:id="17" w:name="_Toc154224466"/>
      <w:bookmarkStart w:id="18" w:name="_Toc416702578"/>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shall come into operation on the day on which it receives the Royal Assent </w:t>
      </w:r>
      <w:r>
        <w:rPr>
          <w:snapToGrid w:val="0"/>
          <w:vertAlign w:val="superscript"/>
        </w:rPr>
        <w:t>1</w:t>
      </w:r>
      <w:r>
        <w:rPr>
          <w:snapToGrid w:val="0"/>
        </w:rPr>
        <w:t>.</w:t>
      </w:r>
    </w:p>
    <w:p>
      <w:pPr>
        <w:pStyle w:val="Heading5"/>
        <w:rPr>
          <w:snapToGrid w:val="0"/>
        </w:rPr>
      </w:pPr>
      <w:bookmarkStart w:id="19" w:name="_Toc476619105"/>
      <w:bookmarkStart w:id="20" w:name="_Toc510941818"/>
      <w:bookmarkStart w:id="21" w:name="_Toc512403476"/>
      <w:bookmarkStart w:id="22" w:name="_Toc512403619"/>
      <w:bookmarkStart w:id="23" w:name="_Toc36369343"/>
      <w:bookmarkStart w:id="24" w:name="_Toc154224467"/>
      <w:bookmarkStart w:id="25" w:name="_Toc416702579"/>
      <w:r>
        <w:rPr>
          <w:rStyle w:val="CharSectno"/>
        </w:rPr>
        <w:t>3</w:t>
      </w:r>
      <w:r>
        <w:rPr>
          <w:snapToGrid w:val="0"/>
        </w:rPr>
        <w:t>.</w:t>
      </w:r>
      <w:r>
        <w:rPr>
          <w:snapToGrid w:val="0"/>
        </w:rPr>
        <w:tab/>
      </w:r>
      <w:bookmarkEnd w:id="19"/>
      <w:bookmarkEnd w:id="20"/>
      <w:bookmarkEnd w:id="21"/>
      <w:bookmarkEnd w:id="22"/>
      <w:bookmarkEnd w:id="23"/>
      <w:r>
        <w:rPr>
          <w:snapToGrid w:val="0"/>
        </w:rPr>
        <w:t>Variation of commencement date</w:t>
      </w:r>
      <w:bookmarkEnd w:id="24"/>
      <w:bookmarkEnd w:id="25"/>
    </w:p>
    <w:p>
      <w:pPr>
        <w:pStyle w:val="Subsection"/>
        <w:rPr>
          <w:snapToGrid w:val="0"/>
        </w:rPr>
      </w:pPr>
      <w:r>
        <w:rPr>
          <w:snapToGrid w:val="0"/>
        </w:rPr>
        <w:tab/>
      </w:r>
      <w:r>
        <w:rPr>
          <w:snapToGrid w:val="0"/>
        </w:rPr>
        <w:tab/>
        <w:t xml:space="preserve">Notwithstanding section 2 of the </w:t>
      </w:r>
      <w:r>
        <w:rPr>
          <w:i/>
          <w:iCs/>
          <w:snapToGrid w:val="0"/>
        </w:rPr>
        <w:t>Electoral Amendment Act (No. 2) 1985</w:t>
      </w:r>
      <w:r>
        <w:rPr>
          <w:snapToGrid w:val="0"/>
        </w:rPr>
        <w:t xml:space="preserve"> and the proclamation made under that section and published in the </w:t>
      </w:r>
      <w:r>
        <w:rPr>
          <w:i/>
          <w:iCs/>
          <w:snapToGrid w:val="0"/>
        </w:rPr>
        <w:t>Government Gazette</w:t>
      </w:r>
      <w:r>
        <w:rPr>
          <w:snapToGrid w:val="0"/>
        </w:rPr>
        <w:t xml:space="preserve"> on 8 May 1987 (in this Act referred to as “the proclamation”) that Act is deemed to have come into operation simultaneously with the commencement of the </w:t>
      </w:r>
      <w:r>
        <w:rPr>
          <w:i/>
          <w:iCs/>
          <w:snapToGrid w:val="0"/>
        </w:rPr>
        <w:t>Australian Citizenship Amendment Act 1984</w:t>
      </w:r>
      <w:r>
        <w:rPr>
          <w:snapToGrid w:val="0"/>
        </w:rPr>
        <w:t xml:space="preserve"> of the Commonwealth (in this Act referred to as “the Commonwealth Act”).</w:t>
      </w:r>
    </w:p>
    <w:p>
      <w:pPr>
        <w:pStyle w:val="Heading5"/>
        <w:rPr>
          <w:snapToGrid w:val="0"/>
        </w:rPr>
      </w:pPr>
      <w:bookmarkStart w:id="26" w:name="_Toc476619106"/>
      <w:bookmarkStart w:id="27" w:name="_Toc510941819"/>
      <w:bookmarkStart w:id="28" w:name="_Toc512403477"/>
      <w:bookmarkStart w:id="29" w:name="_Toc512403620"/>
      <w:bookmarkStart w:id="30" w:name="_Toc36369344"/>
      <w:bookmarkStart w:id="31" w:name="_Toc154224468"/>
      <w:bookmarkStart w:id="32" w:name="_Toc416702580"/>
      <w:r>
        <w:rPr>
          <w:rStyle w:val="CharSectno"/>
        </w:rPr>
        <w:t>4</w:t>
      </w:r>
      <w:r>
        <w:rPr>
          <w:snapToGrid w:val="0"/>
        </w:rPr>
        <w:t>.</w:t>
      </w:r>
      <w:r>
        <w:rPr>
          <w:snapToGrid w:val="0"/>
        </w:rPr>
        <w:tab/>
      </w:r>
      <w:bookmarkEnd w:id="26"/>
      <w:bookmarkEnd w:id="27"/>
      <w:bookmarkEnd w:id="28"/>
      <w:bookmarkEnd w:id="29"/>
      <w:bookmarkEnd w:id="30"/>
      <w:r>
        <w:rPr>
          <w:snapToGrid w:val="0"/>
        </w:rPr>
        <w:t>Validation</w:t>
      </w:r>
      <w:bookmarkEnd w:id="31"/>
      <w:bookmarkEnd w:id="32"/>
    </w:p>
    <w:p>
      <w:pPr>
        <w:pStyle w:val="Subsection"/>
        <w:rPr>
          <w:snapToGrid w:val="0"/>
        </w:rPr>
      </w:pPr>
      <w:r>
        <w:rPr>
          <w:snapToGrid w:val="0"/>
        </w:rPr>
        <w:tab/>
      </w:r>
      <w:r>
        <w:rPr>
          <w:snapToGrid w:val="0"/>
        </w:rPr>
        <w:tab/>
        <w:t>It is hereby declared that anything done in the period between the commencement of the Commonwealth Act and the publication of the proclamation is and always has been as valid and effectual as it would be or would have been if this Act had been in operation when that thing was done.</w:t>
      </w:r>
    </w:p>
    <w:p>
      <w:pPr>
        <w:pStyle w:val="Heading5"/>
        <w:rPr>
          <w:snapToGrid w:val="0"/>
        </w:rPr>
      </w:pPr>
      <w:bookmarkStart w:id="33" w:name="_Toc476619107"/>
      <w:bookmarkStart w:id="34" w:name="_Toc510941820"/>
      <w:bookmarkStart w:id="35" w:name="_Toc512403478"/>
      <w:bookmarkStart w:id="36" w:name="_Toc512403621"/>
      <w:bookmarkStart w:id="37" w:name="_Toc36369345"/>
      <w:bookmarkStart w:id="38" w:name="_Toc154224469"/>
      <w:bookmarkStart w:id="39" w:name="_Toc416702581"/>
      <w:r>
        <w:rPr>
          <w:rStyle w:val="CharSectno"/>
        </w:rPr>
        <w:t>5</w:t>
      </w:r>
      <w:r>
        <w:rPr>
          <w:snapToGrid w:val="0"/>
        </w:rPr>
        <w:t>.</w:t>
      </w:r>
      <w:r>
        <w:rPr>
          <w:snapToGrid w:val="0"/>
        </w:rPr>
        <w:tab/>
      </w:r>
      <w:bookmarkEnd w:id="33"/>
      <w:bookmarkEnd w:id="34"/>
      <w:bookmarkEnd w:id="35"/>
      <w:bookmarkEnd w:id="36"/>
      <w:bookmarkEnd w:id="37"/>
      <w:r>
        <w:rPr>
          <w:snapToGrid w:val="0"/>
        </w:rPr>
        <w:t>Electoral qualification not affected</w:t>
      </w:r>
      <w:bookmarkEnd w:id="38"/>
      <w:bookmarkEnd w:id="39"/>
    </w:p>
    <w:p>
      <w:pPr>
        <w:pStyle w:val="Subsection"/>
        <w:rPr>
          <w:snapToGrid w:val="0"/>
        </w:rPr>
      </w:pPr>
      <w:r>
        <w:rPr>
          <w:snapToGrid w:val="0"/>
        </w:rPr>
        <w:tab/>
      </w:r>
      <w:r>
        <w:rPr>
          <w:snapToGrid w:val="0"/>
        </w:rPr>
        <w:tab/>
        <w:t>It is hereby declared that no person ceased to be an elector entitled to vote at an election of a member of either House of Parliament or to be qualified to become such an elector in the period between the commencement of the Commonwealth Act and the publication of the proclamation by reason of the commencement of the Commonwealth Act.</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40" w:name="_Toc119746908"/>
      <w:bookmarkStart w:id="41" w:name="_Toc154224470"/>
      <w:bookmarkStart w:id="42" w:name="_Toc416702558"/>
      <w:bookmarkStart w:id="43" w:name="_Toc416702582"/>
      <w:r>
        <w:t>Notes</w:t>
      </w:r>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Electoral Act (Commencement of Amendments) Act 1987</w:t>
      </w:r>
      <w:r>
        <w:rPr>
          <w:snapToGrid w:val="0"/>
        </w:rPr>
        <w:t>.  The following table contains information about that Act.</w:t>
      </w:r>
    </w:p>
    <w:p>
      <w:pPr>
        <w:pStyle w:val="nHeading3"/>
        <w:rPr>
          <w:snapToGrid w:val="0"/>
        </w:rPr>
      </w:pPr>
      <w:bookmarkStart w:id="44" w:name="_Toc512403484"/>
      <w:bookmarkStart w:id="45" w:name="_Toc512403627"/>
      <w:bookmarkStart w:id="46" w:name="_Toc36369351"/>
      <w:bookmarkStart w:id="47" w:name="_Toc154224471"/>
      <w:bookmarkStart w:id="48" w:name="_Toc416702583"/>
      <w:r>
        <w:rPr>
          <w:snapToGrid w:val="0"/>
        </w:rPr>
        <w:t>Compilation table</w:t>
      </w:r>
      <w:bookmarkEnd w:id="44"/>
      <w:bookmarkEnd w:id="45"/>
      <w:bookmarkEnd w:id="46"/>
      <w:bookmarkEnd w:id="47"/>
      <w:bookmarkEnd w:id="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Electoral Act (Commencement of Amendments) Act 1987</w:t>
            </w:r>
          </w:p>
        </w:tc>
        <w:tc>
          <w:tcPr>
            <w:tcW w:w="1134" w:type="dxa"/>
          </w:tcPr>
          <w:p>
            <w:pPr>
              <w:pStyle w:val="nTable"/>
              <w:spacing w:after="40"/>
            </w:pPr>
            <w:r>
              <w:t>1 of 1987</w:t>
            </w:r>
          </w:p>
        </w:tc>
        <w:tc>
          <w:tcPr>
            <w:tcW w:w="1134" w:type="dxa"/>
          </w:tcPr>
          <w:p>
            <w:pPr>
              <w:pStyle w:val="nTable"/>
              <w:spacing w:after="40"/>
            </w:pPr>
            <w:r>
              <w:t>20 May 1987</w:t>
            </w:r>
          </w:p>
        </w:tc>
        <w:tc>
          <w:tcPr>
            <w:tcW w:w="2552" w:type="dxa"/>
          </w:tcPr>
          <w:p>
            <w:pPr>
              <w:pStyle w:val="nTable"/>
              <w:spacing w:after="40"/>
            </w:pPr>
            <w:r>
              <w:t>20 May 1987 (see s. 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Electoral Act (Commencement of Amendments)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Electoral Act (Commencement of Amendments)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(Commencement of Amendments)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(Commencement of Amendments)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Electoral Act (Commencement of Amendments)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Electoral Act (Commencement of Amendments) Act 1987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2E5726"/>
    <w:lvl w:ilvl="0">
      <w:start w:val="1"/>
      <w:numFmt w:val="decimal"/>
      <w:lvlText w:val="%1."/>
      <w:lvlJc w:val="left"/>
      <w:pPr>
        <w:tabs>
          <w:tab w:val="num" w:pos="1492"/>
        </w:tabs>
        <w:ind w:left="1492" w:hanging="360"/>
      </w:pPr>
    </w:lvl>
  </w:abstractNum>
  <w:abstractNum w:abstractNumId="1">
    <w:nsid w:val="FFFFFF7D"/>
    <w:multiLevelType w:val="singleLevel"/>
    <w:tmpl w:val="1A1A9DC0"/>
    <w:lvl w:ilvl="0">
      <w:start w:val="1"/>
      <w:numFmt w:val="decimal"/>
      <w:lvlText w:val="%1."/>
      <w:lvlJc w:val="left"/>
      <w:pPr>
        <w:tabs>
          <w:tab w:val="num" w:pos="1209"/>
        </w:tabs>
        <w:ind w:left="1209" w:hanging="360"/>
      </w:pPr>
    </w:lvl>
  </w:abstractNum>
  <w:abstractNum w:abstractNumId="2">
    <w:nsid w:val="FFFFFF7E"/>
    <w:multiLevelType w:val="singleLevel"/>
    <w:tmpl w:val="83EA41E2"/>
    <w:lvl w:ilvl="0">
      <w:start w:val="1"/>
      <w:numFmt w:val="decimal"/>
      <w:lvlText w:val="%1."/>
      <w:lvlJc w:val="left"/>
      <w:pPr>
        <w:tabs>
          <w:tab w:val="num" w:pos="926"/>
        </w:tabs>
        <w:ind w:left="926" w:hanging="360"/>
      </w:pPr>
    </w:lvl>
  </w:abstractNum>
  <w:abstractNum w:abstractNumId="3">
    <w:nsid w:val="FFFFFF7F"/>
    <w:multiLevelType w:val="singleLevel"/>
    <w:tmpl w:val="F2428C56"/>
    <w:lvl w:ilvl="0">
      <w:start w:val="1"/>
      <w:numFmt w:val="decimal"/>
      <w:lvlText w:val="%1."/>
      <w:lvlJc w:val="left"/>
      <w:pPr>
        <w:tabs>
          <w:tab w:val="num" w:pos="643"/>
        </w:tabs>
        <w:ind w:left="643" w:hanging="360"/>
      </w:pPr>
    </w:lvl>
  </w:abstractNum>
  <w:abstractNum w:abstractNumId="4">
    <w:nsid w:val="FFFFFF80"/>
    <w:multiLevelType w:val="singleLevel"/>
    <w:tmpl w:val="33187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56EE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24D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AF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67AE"/>
    <w:lvl w:ilvl="0">
      <w:start w:val="1"/>
      <w:numFmt w:val="decimal"/>
      <w:lvlText w:val="%1."/>
      <w:lvlJc w:val="left"/>
      <w:pPr>
        <w:tabs>
          <w:tab w:val="num" w:pos="360"/>
        </w:tabs>
        <w:ind w:left="360" w:hanging="360"/>
      </w:pPr>
    </w:lvl>
  </w:abstractNum>
  <w:abstractNum w:abstractNumId="9">
    <w:nsid w:val="FFFFFF89"/>
    <w:multiLevelType w:val="singleLevel"/>
    <w:tmpl w:val="FE5E1AE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1060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02"/>
    <w:docVar w:name="WAFER_20150413150134" w:val="ResetPageSize,UpdateArrangement,UpdateNTable"/>
    <w:docVar w:name="WAFER_20150413150134_GUID" w:val="348e447f-50fc-4b66-8b30-678a09fef0c8"/>
    <w:docVar w:name="WAFER_20151105114102" w:val="UpdateStyles,UsedStyles"/>
    <w:docVar w:name="WAFER_20151105114102_GUID" w:val="78555971-7fb1-4b17-a422-80d0ccfce4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453</Words>
  <Characters>2279</Characters>
  <Application>Microsoft Office Word</Application>
  <DocSecurity>0</DocSecurity>
  <Lines>87</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(Commencement of Amendments) Act 1987 - 00-a0-09</dc:title>
  <dc:subject/>
  <dc:creator/>
  <cp:keywords/>
  <dc:description/>
  <cp:lastModifiedBy>svcMRProcess</cp:lastModifiedBy>
  <cp:revision>4</cp:revision>
  <dcterms:created xsi:type="dcterms:W3CDTF">2019-01-21T03:14:00Z</dcterms:created>
  <dcterms:modified xsi:type="dcterms:W3CDTF">2019-01-21T03:14:00Z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OwlsUID">
    <vt:i4>146513</vt:i4>
  </property>
  <property fmtid="{D5CDD505-2E9C-101B-9397-08002B2CF9AE}" pid="6" name="AsAtDate">
    <vt:lpwstr>06 Jul 1998</vt:lpwstr>
  </property>
  <property fmtid="{D5CDD505-2E9C-101B-9397-08002B2CF9AE}" pid="7" name="Suffix">
    <vt:lpwstr>00-a0-09</vt:lpwstr>
  </property>
</Properties>
</file>