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Energy Safety Levy Act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Energy Safety Levy Act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_Toc416788637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_Toc416788638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Energy safety levy imposed</w:t>
      </w:r>
      <w:r>
        <w:tab/>
      </w:r>
      <w:r>
        <w:fldChar w:fldCharType="begin"/>
      </w:r>
      <w:r>
        <w:instrText xml:space="preserve"> PAGEREF _Toc416788639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_Toc416788641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Energy Safety Levy Act 2006</w:t>
      </w:r>
    </w:p>
    <w:p>
      <w:pPr>
        <w:pStyle w:val="LongTitle"/>
        <w:suppressLineNumbers/>
      </w:pPr>
      <w:r>
        <w:rPr>
          <w:snapToGrid w:val="0"/>
        </w:rPr>
        <w:t xml:space="preserve">An Act to impose the energy safety levy determined under the </w:t>
      </w:r>
      <w:r>
        <w:rPr>
          <w:i/>
          <w:iCs/>
          <w:snapToGrid w:val="0"/>
        </w:rPr>
        <w:t>Energy Safety Act 2006</w:t>
      </w:r>
      <w:r>
        <w:t>.</w:t>
      </w:r>
    </w:p>
    <w:p>
      <w:pPr>
        <w:rPr>
          <w:snapToGrid w:val="0"/>
        </w:rPr>
      </w:pPr>
    </w:p>
    <w:p>
      <w:pPr>
        <w:rPr>
          <w:snapToGrid w:val="0"/>
        </w:rPr>
      </w:pPr>
    </w:p>
    <w:p>
      <w:pPr>
        <w:pStyle w:val="Enactment"/>
        <w:suppressLineNumbers/>
        <w:spacing w:before="0"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pStyle w:val="Heading5"/>
        <w:rPr>
          <w:snapToGrid w:val="0"/>
        </w:rPr>
      </w:pPr>
      <w:bookmarkStart w:id="3" w:name="_Toc378235715"/>
      <w:bookmarkStart w:id="4" w:name="_Toc41678863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Energy Safety Levy Act 2006</w:t>
      </w:r>
      <w:r>
        <w:rPr>
          <w:snapToGrid w:val="0"/>
        </w:rPr>
        <w:t xml:space="preserve">. </w:t>
      </w:r>
    </w:p>
    <w:p>
      <w:pPr>
        <w:pStyle w:val="Heading5"/>
      </w:pPr>
      <w:bookmarkStart w:id="5" w:name="_Toc378235716"/>
      <w:bookmarkStart w:id="6" w:name="_Toc416788638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 xml:space="preserve">comes into operation on the day on which the </w:t>
      </w:r>
      <w:r>
        <w:rPr>
          <w:i/>
          <w:iCs/>
          <w:spacing w:val="-2"/>
        </w:rPr>
        <w:t>Energy Safety Act 2006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7" w:name="_Toc378235717"/>
      <w:bookmarkStart w:id="8" w:name="_Toc416788639"/>
      <w:r>
        <w:rPr>
          <w:rStyle w:val="CharSectno"/>
        </w:rPr>
        <w:t>3</w:t>
      </w:r>
      <w:r>
        <w:t>.</w:t>
      </w:r>
      <w:r>
        <w:tab/>
        <w:t>Energy safety levy imposed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If a levy is determined under the </w:t>
      </w:r>
      <w:r>
        <w:rPr>
          <w:i/>
          <w:iCs/>
        </w:rPr>
        <w:t>Energy Safety Act 2006</w:t>
      </w:r>
      <w:r>
        <w:t xml:space="preserve"> sections 14(1) and 16 in respect of an energy industry participant, that levy is imposed in respect of the energy industry participant.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235718"/>
      <w:bookmarkStart w:id="10" w:name="_Toc416788629"/>
      <w:bookmarkStart w:id="11" w:name="_Toc416788640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Energy Safety Levy Act 2006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12" w:name="_Toc378235719"/>
      <w:bookmarkStart w:id="13" w:name="_Toc416788641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snapToGrid w:val="0"/>
              </w:rPr>
              <w:t>Energy Safety Levy Act 2006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25 of 2006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21 Jun 2006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28 Jun 2006 (see s. 2 and </w:t>
            </w:r>
            <w:r>
              <w:rPr>
                <w:i/>
                <w:iCs/>
              </w:rPr>
              <w:t>Gazette</w:t>
            </w:r>
            <w:r>
              <w:t xml:space="preserve"> 27 Jun 2006 p. 2349)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Safety Levy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Safety Levy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Safety Levy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Safety Levy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Safety Levy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Energy Safety Levy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C1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1A90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481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74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A62C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247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8F2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2A9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88EA71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23843"/>
    <w:docVar w:name="WAFER_20140123101829" w:val="RemoveTocBookmarks,RemoveUnusedBookmarks,RemoveLanguageTags,UsedStyles,ResetPageSize,UpdateArrangement"/>
    <w:docVar w:name="WAFER_20140123101829_GUID" w:val="32867233-8ef3-43d6-9be6-eadbe6245a1c"/>
    <w:docVar w:name="WAFER_20140123101904" w:val="RemoveTocBookmarks,RunningHeaders"/>
    <w:docVar w:name="WAFER_20140123101904_GUID" w:val="266246c0-395d-4c44-bcef-84ed114a9089"/>
    <w:docVar w:name="WAFER_20150414151112" w:val="ResetPageSize,UpdateArrangement,UpdateNTable"/>
    <w:docVar w:name="WAFER_20150414151112_GUID" w:val="e39a74a5-e524-4adc-8220-2d872d79721e"/>
    <w:docVar w:name="WAFER_20151105123843" w:val="UpdateStyles,UsedStyles"/>
    <w:docVar w:name="WAFER_20151105123843_GUID" w:val="40869afa-beaa-48cc-8a98-083d2728e7e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</Words>
  <Characters>1321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Safety Levy Act 2006 - 00-a0-08</dc:title>
  <dc:subject/>
  <dc:creator/>
  <cp:keywords/>
  <dc:description/>
  <cp:lastModifiedBy>svcMRProcess</cp:lastModifiedBy>
  <cp:revision>4</cp:revision>
  <cp:lastPrinted>2006-06-22T05:38:00Z</cp:lastPrinted>
  <dcterms:created xsi:type="dcterms:W3CDTF">2019-01-21T03:40:00Z</dcterms:created>
  <dcterms:modified xsi:type="dcterms:W3CDTF">2019-01-21T03:40:00Z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25 of 2006</vt:lpwstr>
  </property>
  <property fmtid="{D5CDD505-2E9C-101B-9397-08002B2CF9AE}" pid="3" name="CommencementDate">
    <vt:lpwstr>20060628</vt:lpwstr>
  </property>
  <property fmtid="{D5CDD505-2E9C-101B-9397-08002B2CF9AE}" pid="4" name="DocumentType">
    <vt:lpwstr>Act</vt:lpwstr>
  </property>
  <property fmtid="{D5CDD505-2E9C-101B-9397-08002B2CF9AE}" pid="5" name="OwlsUID">
    <vt:i4>144124</vt:i4>
  </property>
  <property fmtid="{D5CDD505-2E9C-101B-9397-08002B2CF9AE}" pid="6" name="AsAtDate">
    <vt:lpwstr>28 Jun 2006</vt:lpwstr>
  </property>
  <property fmtid="{D5CDD505-2E9C-101B-9397-08002B2CF9AE}" pid="7" name="Suffix">
    <vt:lpwstr>00-a0-08</vt:lpwstr>
  </property>
</Properties>
</file>