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Notaries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_Toc199755432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_Toc199755433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_Toc199755434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_Toc199755435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Confirmation of established Public Notaries, and preservation and continuation of the Roll of Notaries</w:t>
      </w:r>
      <w:r>
        <w:tab/>
      </w:r>
      <w:r>
        <w:fldChar w:fldCharType="begin"/>
      </w:r>
      <w:r>
        <w:instrText xml:space="preserve"> PAGEREF _Toc199755436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Appointment of Public Notaries</w:t>
      </w:r>
      <w:r>
        <w:tab/>
      </w:r>
      <w:r>
        <w:fldChar w:fldCharType="begin"/>
      </w:r>
      <w:r>
        <w:instrText xml:space="preserve"> PAGEREF _Toc199755437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Applications and qualifications</w:t>
      </w:r>
      <w:r>
        <w:tab/>
      </w:r>
      <w:r>
        <w:fldChar w:fldCharType="begin"/>
      </w:r>
      <w:r>
        <w:instrText xml:space="preserve"> PAGEREF _Toc199755438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Certificate of Chief Justice</w:t>
      </w:r>
      <w:r>
        <w:tab/>
      </w:r>
      <w:r>
        <w:fldChar w:fldCharType="begin"/>
      </w:r>
      <w:r>
        <w:instrText xml:space="preserve"> PAGEREF _Toc199755439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 xml:space="preserve">Intention to apply to </w:t>
      </w:r>
      <w:r>
        <w:rPr>
          <w:szCs w:val="24"/>
        </w:rPr>
        <w:t xml:space="preserve">Supreme Court (full bench) </w:t>
      </w:r>
      <w:r>
        <w:rPr>
          <w:snapToGrid w:val="0"/>
          <w:szCs w:val="24"/>
        </w:rPr>
        <w:t>to be advertised</w:t>
      </w:r>
      <w:r>
        <w:tab/>
      </w:r>
      <w:r>
        <w:fldChar w:fldCharType="begin"/>
      </w:r>
      <w:r>
        <w:instrText xml:space="preserve"> PAGEREF _Toc199755440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Standing of Attorney General</w:t>
      </w:r>
      <w:r>
        <w:tab/>
      </w:r>
      <w:r>
        <w:fldChar w:fldCharType="begin"/>
      </w:r>
      <w:r>
        <w:instrText xml:space="preserve"> PAGEREF _Toc199755441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Objection to appointment</w:t>
      </w:r>
      <w:r>
        <w:tab/>
      </w:r>
      <w:r>
        <w:fldChar w:fldCharType="begin"/>
      </w:r>
      <w:r>
        <w:instrText xml:space="preserve"> PAGEREF _Toc199755442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 xml:space="preserve">Orders of the </w:t>
      </w:r>
      <w:r>
        <w:rPr>
          <w:szCs w:val="24"/>
        </w:rPr>
        <w:t xml:space="preserve">Supreme Court (full bench) </w:t>
      </w:r>
      <w:r>
        <w:rPr>
          <w:snapToGrid w:val="0"/>
          <w:szCs w:val="24"/>
        </w:rPr>
        <w:t>appointing Public Notaries</w:t>
      </w:r>
      <w:r>
        <w:tab/>
      </w:r>
      <w:r>
        <w:fldChar w:fldCharType="begin"/>
      </w:r>
      <w:r>
        <w:instrText xml:space="preserve"> PAGEREF _Toc199755443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Oath to be taken by persons appointed</w:t>
      </w:r>
      <w:r>
        <w:tab/>
      </w:r>
      <w:r>
        <w:fldChar w:fldCharType="begin"/>
      </w:r>
      <w:r>
        <w:instrText xml:space="preserve"> PAGEREF _Toc199755444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On appointment Public Notaries to sign roll and receive certificate</w:t>
      </w:r>
      <w:r>
        <w:tab/>
      </w:r>
      <w:r>
        <w:fldChar w:fldCharType="begin"/>
      </w:r>
      <w:r>
        <w:instrText xml:space="preserve"> PAGEREF _Toc199755445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Powers and authorities of enrolled Public Notaries</w:t>
      </w:r>
      <w:r>
        <w:tab/>
      </w:r>
      <w:r>
        <w:fldChar w:fldCharType="begin"/>
      </w:r>
      <w:r>
        <w:instrText xml:space="preserve"> PAGEREF _Toc199755446 \h </w:instrText>
      </w:r>
      <w:r>
        <w:fldChar w:fldCharType="separate"/>
      </w:r>
      <w:r>
        <w:t>6</w:t>
      </w:r>
      <w:r>
        <w:fldChar w:fldCharType="end"/>
      </w:r>
    </w:p>
    <w:p>
      <w:pPr>
        <w:pStyle w:val="TOC8"/>
        <w:rPr>
          <w:sz w:val="24"/>
          <w:szCs w:val="24"/>
        </w:rPr>
      </w:pPr>
      <w:r>
        <w:rPr>
          <w:szCs w:val="24"/>
        </w:rPr>
        <w:t>15A</w:t>
      </w:r>
      <w:r>
        <w:rPr>
          <w:snapToGrid w:val="0"/>
          <w:szCs w:val="24"/>
        </w:rPr>
        <w:t>.</w:t>
      </w:r>
      <w:r>
        <w:rPr>
          <w:snapToGrid w:val="0"/>
          <w:szCs w:val="24"/>
        </w:rPr>
        <w:tab/>
        <w:t>Fees to be charged by Public Notaries</w:t>
      </w:r>
      <w:r>
        <w:tab/>
      </w:r>
      <w:r>
        <w:fldChar w:fldCharType="begin"/>
      </w:r>
      <w:r>
        <w:instrText xml:space="preserve"> PAGEREF _Toc199755447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Court may suspend and strike off Public Notaries</w:t>
      </w:r>
      <w:r>
        <w:tab/>
      </w:r>
      <w:r>
        <w:fldChar w:fldCharType="begin"/>
      </w:r>
      <w:r>
        <w:instrText xml:space="preserve"> PAGEREF _Toc199755448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Judges may make rules</w:t>
      </w:r>
      <w:r>
        <w:tab/>
      </w:r>
      <w:r>
        <w:fldChar w:fldCharType="begin"/>
      </w:r>
      <w:r>
        <w:instrText xml:space="preserve"> PAGEREF _Toc199755449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Fees on appointment payable to Supreme Court</w:t>
      </w:r>
      <w:r>
        <w:tab/>
      </w:r>
      <w:r>
        <w:fldChar w:fldCharType="begin"/>
      </w:r>
      <w:r>
        <w:instrText xml:space="preserve"> PAGEREF _Toc199755450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Penalty on unauthorised persons practising as Public Notaries</w:t>
      </w:r>
      <w:r>
        <w:tab/>
      </w:r>
      <w:r>
        <w:fldChar w:fldCharType="begin"/>
      </w:r>
      <w:r>
        <w:instrText xml:space="preserve"> PAGEREF _Toc199755451 \h </w:instrText>
      </w:r>
      <w:r>
        <w:fldChar w:fldCharType="separate"/>
      </w:r>
      <w:r>
        <w:t>8</w:t>
      </w:r>
      <w:r>
        <w:fldChar w:fldCharType="end"/>
      </w:r>
    </w:p>
    <w:p>
      <w:pPr>
        <w:pStyle w:val="TOC2"/>
        <w:tabs>
          <w:tab w:val="right" w:leader="dot" w:pos="7086"/>
        </w:tabs>
        <w:rPr>
          <w:b w:val="0"/>
          <w:sz w:val="24"/>
          <w:szCs w:val="24"/>
        </w:rPr>
      </w:pPr>
      <w:r>
        <w:rPr>
          <w:szCs w:val="26"/>
        </w:rPr>
        <w:lastRenderedPageBreak/>
        <w:t>Notes</w:t>
      </w:r>
    </w:p>
    <w:p>
      <w:pPr>
        <w:pStyle w:val="TOC8"/>
        <w:rPr>
          <w:sz w:val="24"/>
          <w:szCs w:val="24"/>
        </w:rPr>
      </w:pPr>
      <w:r>
        <w:rPr>
          <w:snapToGrid w:val="0"/>
          <w:szCs w:val="24"/>
        </w:rPr>
        <w:tab/>
        <w:t>Compilation table</w:t>
      </w:r>
      <w:r>
        <w:tab/>
      </w:r>
      <w:r>
        <w:fldChar w:fldCharType="begin"/>
      </w:r>
      <w:r>
        <w:instrText xml:space="preserve"> PAGEREF _Toc199755453 \h </w:instrText>
      </w:r>
      <w:r>
        <w:fldChar w:fldCharType="separate"/>
      </w:r>
      <w:r>
        <w:t>9</w:t>
      </w:r>
      <w:r>
        <w:fldChar w:fldCharType="end"/>
      </w:r>
    </w:p>
    <w:p>
      <w:pPr>
        <w:pStyle w:val="TOC8"/>
        <w:rPr>
          <w:sz w:val="24"/>
        </w:rPr>
      </w:pPr>
      <w:r>
        <w:rPr>
          <w:snapToGrid w:val="0"/>
        </w:rPr>
        <w:tab/>
        <w:t>Provisions that have not come into operation</w:t>
      </w:r>
      <w:r>
        <w:tab/>
      </w:r>
      <w:r>
        <w:fldChar w:fldCharType="begin"/>
      </w:r>
      <w:r>
        <w:instrText xml:space="preserve"> PAGEREF _Toc199755454 \h </w:instrText>
      </w:r>
      <w:r>
        <w:fldChar w:fldCharType="separate"/>
      </w:r>
      <w:r>
        <w:t>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Public Notaries Act 1979 </w:t>
      </w:r>
    </w:p>
    <w:p>
      <w:pPr>
        <w:pStyle w:val="LongTitle"/>
        <w:spacing w:after="480"/>
        <w:rPr>
          <w:snapToGrid w:val="0"/>
        </w:rPr>
      </w:pPr>
      <w:r>
        <w:rPr>
          <w:snapToGrid w:val="0"/>
        </w:rPr>
        <w:t xml:space="preserve">An Act to make provision in respect of Public Notaries, and for related purposes. </w:t>
      </w:r>
    </w:p>
    <w:p>
      <w:pPr>
        <w:pStyle w:val="Heading5"/>
        <w:rPr>
          <w:snapToGrid w:val="0"/>
        </w:rPr>
      </w:pPr>
      <w:bookmarkStart w:id="2" w:name="_Toc49314951"/>
      <w:bookmarkStart w:id="3" w:name="_Toc49315122"/>
      <w:bookmarkStart w:id="4" w:name="_Toc170190927"/>
      <w:bookmarkStart w:id="5" w:name="_Toc199755432"/>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6" w:name="_Toc49314952"/>
      <w:bookmarkStart w:id="7" w:name="_Toc49315123"/>
      <w:bookmarkStart w:id="8" w:name="_Toc170190928"/>
      <w:bookmarkStart w:id="9" w:name="_Toc199755433"/>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0" w:name="_Toc49314953"/>
      <w:bookmarkStart w:id="11" w:name="_Toc49315124"/>
      <w:bookmarkStart w:id="12" w:name="_Toc170190929"/>
      <w:bookmarkStart w:id="13" w:name="_Toc199755434"/>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applicant</w:t>
      </w:r>
      <w:r>
        <w:t xml:space="preserve"> means an applicant for appointment as a Public Notary;</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by No. 45 of 2004 s. 37; No. 59 of 2004 s. 141.]</w:t>
      </w:r>
    </w:p>
    <w:p>
      <w:pPr>
        <w:pStyle w:val="Heading5"/>
        <w:rPr>
          <w:snapToGrid w:val="0"/>
        </w:rPr>
      </w:pPr>
      <w:bookmarkStart w:id="14" w:name="_Toc49314954"/>
      <w:bookmarkStart w:id="15" w:name="_Toc49315125"/>
      <w:bookmarkStart w:id="16" w:name="_Toc170190930"/>
      <w:bookmarkStart w:id="17" w:name="_Toc199755435"/>
      <w:r>
        <w:rPr>
          <w:rStyle w:val="CharSectno"/>
        </w:rPr>
        <w:t>4</w:t>
      </w:r>
      <w:r>
        <w:rPr>
          <w:snapToGrid w:val="0"/>
        </w:rPr>
        <w:t>.</w:t>
      </w:r>
      <w:r>
        <w:rPr>
          <w:snapToGrid w:val="0"/>
        </w:rPr>
        <w:tab/>
        <w:t>Repeal</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8" w:name="_Toc49314955"/>
      <w:bookmarkStart w:id="19" w:name="_Toc49315126"/>
      <w:bookmarkStart w:id="20" w:name="_Toc170190931"/>
      <w:bookmarkStart w:id="21" w:name="_Toc199755436"/>
      <w:r>
        <w:rPr>
          <w:rStyle w:val="CharSectno"/>
        </w:rPr>
        <w:t>5</w:t>
      </w:r>
      <w:r>
        <w:rPr>
          <w:snapToGrid w:val="0"/>
        </w:rPr>
        <w:t>.</w:t>
      </w:r>
      <w:r>
        <w:rPr>
          <w:snapToGrid w:val="0"/>
        </w:rPr>
        <w:tab/>
        <w:t>Confirmation of established Public Notaries, and preservation and continuation of the Roll of Notaries</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22" w:name="_Toc49314956"/>
      <w:bookmarkStart w:id="23" w:name="_Toc49315127"/>
      <w:bookmarkStart w:id="24" w:name="_Toc170190932"/>
      <w:bookmarkStart w:id="25" w:name="_Toc199755437"/>
      <w:r>
        <w:rPr>
          <w:rStyle w:val="CharSectno"/>
        </w:rPr>
        <w:t>6</w:t>
      </w:r>
      <w:r>
        <w:rPr>
          <w:snapToGrid w:val="0"/>
        </w:rPr>
        <w:t>.</w:t>
      </w:r>
      <w:r>
        <w:rPr>
          <w:snapToGrid w:val="0"/>
        </w:rPr>
        <w:tab/>
        <w:t>Appointment of Public Notaries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26" w:name="_Toc49314957"/>
      <w:bookmarkStart w:id="27" w:name="_Toc49315128"/>
      <w:bookmarkStart w:id="28" w:name="_Toc170190933"/>
      <w:bookmarkStart w:id="29" w:name="_Toc199755438"/>
      <w:r>
        <w:rPr>
          <w:rStyle w:val="CharSectno"/>
        </w:rPr>
        <w:t>7</w:t>
      </w:r>
      <w:r>
        <w:rPr>
          <w:snapToGrid w:val="0"/>
        </w:rPr>
        <w:t>.</w:t>
      </w:r>
      <w:r>
        <w:rPr>
          <w:snapToGrid w:val="0"/>
        </w:rPr>
        <w:tab/>
        <w:t>Applications and qualifications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 xml:space="preserve">the applicant is on the Roll of Practitioners under the </w:t>
      </w:r>
      <w:r>
        <w:rPr>
          <w:i/>
        </w:rPr>
        <w:t xml:space="preserve">Legal Practice Act 2003 </w:t>
      </w:r>
      <w:r>
        <w:rPr>
          <w:snapToGrid w:val="0"/>
        </w:rPr>
        <w:t>and is not pursuant to that Act under suspension from 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w:t>
      </w:r>
    </w:p>
    <w:p>
      <w:pPr>
        <w:pStyle w:val="Heading5"/>
        <w:rPr>
          <w:snapToGrid w:val="0"/>
        </w:rPr>
      </w:pPr>
      <w:bookmarkStart w:id="30" w:name="_Toc49314958"/>
      <w:bookmarkStart w:id="31" w:name="_Toc49315129"/>
      <w:bookmarkStart w:id="32" w:name="_Toc170190934"/>
      <w:bookmarkStart w:id="33" w:name="_Toc199755439"/>
      <w:r>
        <w:rPr>
          <w:rStyle w:val="CharSectno"/>
        </w:rPr>
        <w:t>8</w:t>
      </w:r>
      <w:r>
        <w:rPr>
          <w:snapToGrid w:val="0"/>
        </w:rPr>
        <w:t>.</w:t>
      </w:r>
      <w:r>
        <w:rPr>
          <w:snapToGrid w:val="0"/>
        </w:rPr>
        <w:tab/>
        <w:t>Certificate of Chief Justice</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34" w:name="_Toc49314959"/>
      <w:bookmarkStart w:id="35" w:name="_Toc49315130"/>
      <w:bookmarkStart w:id="36" w:name="_Toc170190935"/>
      <w:bookmarkStart w:id="37" w:name="_Toc199755440"/>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38" w:name="_Toc49314960"/>
      <w:bookmarkStart w:id="39" w:name="_Toc49315131"/>
      <w:bookmarkStart w:id="40" w:name="_Toc170190936"/>
      <w:bookmarkStart w:id="41" w:name="_Toc199755441"/>
      <w:r>
        <w:rPr>
          <w:rStyle w:val="CharSectno"/>
        </w:rPr>
        <w:t>10</w:t>
      </w:r>
      <w:r>
        <w:rPr>
          <w:snapToGrid w:val="0"/>
        </w:rPr>
        <w:t>.</w:t>
      </w:r>
      <w:r>
        <w:rPr>
          <w:snapToGrid w:val="0"/>
        </w:rPr>
        <w:tab/>
        <w:t>Standing of Attorney General</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42" w:name="_Toc49314961"/>
      <w:bookmarkStart w:id="43" w:name="_Toc49315132"/>
      <w:bookmarkStart w:id="44" w:name="_Toc170190937"/>
      <w:bookmarkStart w:id="45" w:name="_Toc199755442"/>
      <w:r>
        <w:rPr>
          <w:rStyle w:val="CharSectno"/>
        </w:rPr>
        <w:t>11</w:t>
      </w:r>
      <w:r>
        <w:rPr>
          <w:snapToGrid w:val="0"/>
        </w:rPr>
        <w:t>.</w:t>
      </w:r>
      <w:r>
        <w:rPr>
          <w:snapToGrid w:val="0"/>
        </w:rPr>
        <w:tab/>
        <w:t>Objection to appointment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46" w:name="_Toc49314962"/>
      <w:bookmarkStart w:id="47" w:name="_Toc49315133"/>
      <w:bookmarkStart w:id="48" w:name="_Toc170190938"/>
      <w:bookmarkStart w:id="49" w:name="_Toc199755443"/>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50" w:name="_Toc49314963"/>
      <w:bookmarkStart w:id="51" w:name="_Toc49315134"/>
      <w:bookmarkStart w:id="52" w:name="_Toc170190939"/>
      <w:bookmarkStart w:id="53" w:name="_Toc199755444"/>
      <w:r>
        <w:rPr>
          <w:rStyle w:val="CharSectno"/>
        </w:rPr>
        <w:t>13</w:t>
      </w:r>
      <w:r>
        <w:rPr>
          <w:snapToGrid w:val="0"/>
        </w:rPr>
        <w:t>.</w:t>
      </w:r>
      <w:r>
        <w:rPr>
          <w:snapToGrid w:val="0"/>
        </w:rPr>
        <w:tab/>
        <w:t>Oath to be taken by persons appointed</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pPr>
      <w:r>
        <w:tab/>
        <w:t>[Section 13 amended by No. 24 of 2005 s. 63.]</w:t>
      </w:r>
    </w:p>
    <w:p>
      <w:pPr>
        <w:pStyle w:val="Heading5"/>
        <w:rPr>
          <w:snapToGrid w:val="0"/>
        </w:rPr>
      </w:pPr>
      <w:bookmarkStart w:id="54" w:name="_Toc49314964"/>
      <w:bookmarkStart w:id="55" w:name="_Toc49315135"/>
      <w:bookmarkStart w:id="56" w:name="_Toc170190940"/>
      <w:bookmarkStart w:id="57" w:name="_Toc199755445"/>
      <w:r>
        <w:rPr>
          <w:rStyle w:val="CharSectno"/>
        </w:rPr>
        <w:t>14</w:t>
      </w:r>
      <w:r>
        <w:rPr>
          <w:snapToGrid w:val="0"/>
        </w:rPr>
        <w:t>.</w:t>
      </w:r>
      <w:r>
        <w:rPr>
          <w:snapToGrid w:val="0"/>
        </w:rPr>
        <w:tab/>
        <w:t>On appointment Public Notaries to sign roll and receive certificate</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58" w:name="_Toc49314965"/>
      <w:bookmarkStart w:id="59" w:name="_Toc49315136"/>
      <w:bookmarkStart w:id="60" w:name="_Toc170190941"/>
      <w:bookmarkStart w:id="61" w:name="_Toc199755446"/>
      <w:r>
        <w:rPr>
          <w:rStyle w:val="CharSectno"/>
        </w:rPr>
        <w:t>15</w:t>
      </w:r>
      <w:r>
        <w:rPr>
          <w:snapToGrid w:val="0"/>
        </w:rPr>
        <w:t>.</w:t>
      </w:r>
      <w:r>
        <w:rPr>
          <w:snapToGrid w:val="0"/>
        </w:rPr>
        <w:tab/>
        <w:t>Powers and authorities of enrolled Public Notaries</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62" w:name="_Toc471793731"/>
      <w:bookmarkStart w:id="63" w:name="_Toc49314966"/>
      <w:bookmarkStart w:id="64" w:name="_Toc49315137"/>
      <w:bookmarkStart w:id="65" w:name="_Toc170190942"/>
      <w:bookmarkStart w:id="66" w:name="_Toc199755447"/>
      <w:r>
        <w:rPr>
          <w:rStyle w:val="CharSectno"/>
        </w:rPr>
        <w:t>15A</w:t>
      </w:r>
      <w:r>
        <w:rPr>
          <w:snapToGrid w:val="0"/>
        </w:rPr>
        <w:t>.</w:t>
      </w:r>
      <w:r>
        <w:rPr>
          <w:snapToGrid w:val="0"/>
        </w:rPr>
        <w:tab/>
        <w:t>Fees to be charged by Public Notaries</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legal costs determination (as defined in the </w:t>
      </w:r>
      <w:r>
        <w:rPr>
          <w:i/>
        </w:rPr>
        <w:t>Legal Practice Act 2003</w:t>
      </w:r>
      <w:r>
        <w:t>)</w:t>
      </w:r>
      <w:r>
        <w:rPr>
          <w:snapToGrid w:val="0"/>
        </w:rPr>
        <w:t>.</w:t>
      </w:r>
    </w:p>
    <w:p>
      <w:pPr>
        <w:pStyle w:val="Footnotesection"/>
      </w:pPr>
      <w:r>
        <w:tab/>
        <w:t>[Section 15A inserted by No. 46 of 1997 s. 4; amended by No. 65 of 2003 s. 57(3).]</w:t>
      </w:r>
    </w:p>
    <w:p>
      <w:pPr>
        <w:pStyle w:val="Heading5"/>
        <w:rPr>
          <w:snapToGrid w:val="0"/>
        </w:rPr>
      </w:pPr>
      <w:bookmarkStart w:id="67" w:name="_Toc49314967"/>
      <w:bookmarkStart w:id="68" w:name="_Toc49315138"/>
      <w:bookmarkStart w:id="69" w:name="_Toc170190943"/>
      <w:bookmarkStart w:id="70" w:name="_Toc199755448"/>
      <w:r>
        <w:rPr>
          <w:rStyle w:val="CharSectno"/>
        </w:rPr>
        <w:t>16</w:t>
      </w:r>
      <w:r>
        <w:rPr>
          <w:snapToGrid w:val="0"/>
        </w:rPr>
        <w:t>.</w:t>
      </w:r>
      <w:r>
        <w:rPr>
          <w:snapToGrid w:val="0"/>
        </w:rPr>
        <w:tab/>
        <w:t>Court may suspend and strike off Public Notaries</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Practice Act 2003</w:t>
      </w:r>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37.]</w:t>
      </w:r>
    </w:p>
    <w:p>
      <w:pPr>
        <w:pStyle w:val="Heading5"/>
        <w:rPr>
          <w:snapToGrid w:val="0"/>
        </w:rPr>
      </w:pPr>
      <w:bookmarkStart w:id="71" w:name="_Toc49314968"/>
      <w:bookmarkStart w:id="72" w:name="_Toc49315139"/>
      <w:bookmarkStart w:id="73" w:name="_Toc170190944"/>
      <w:bookmarkStart w:id="74" w:name="_Toc199755449"/>
      <w:r>
        <w:rPr>
          <w:rStyle w:val="CharSectno"/>
        </w:rPr>
        <w:t>17</w:t>
      </w:r>
      <w:r>
        <w:rPr>
          <w:snapToGrid w:val="0"/>
        </w:rPr>
        <w:t>.</w:t>
      </w:r>
      <w:r>
        <w:rPr>
          <w:snapToGrid w:val="0"/>
        </w:rPr>
        <w:tab/>
        <w:t>Judges may make rules</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75" w:name="_Toc49314969"/>
      <w:bookmarkStart w:id="76" w:name="_Toc49315140"/>
      <w:bookmarkStart w:id="77" w:name="_Toc170190945"/>
      <w:bookmarkStart w:id="78" w:name="_Toc199755450"/>
      <w:r>
        <w:rPr>
          <w:rStyle w:val="CharSectno"/>
        </w:rPr>
        <w:t>18</w:t>
      </w:r>
      <w:r>
        <w:rPr>
          <w:snapToGrid w:val="0"/>
        </w:rPr>
        <w:t>.</w:t>
      </w:r>
      <w:r>
        <w:rPr>
          <w:snapToGrid w:val="0"/>
        </w:rPr>
        <w:tab/>
        <w:t>Fees on appointment payable to Supreme Court</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79" w:name="_Toc49314970"/>
      <w:bookmarkStart w:id="80" w:name="_Toc49315141"/>
      <w:bookmarkStart w:id="81" w:name="_Toc170190946"/>
      <w:bookmarkStart w:id="82" w:name="_Toc199755451"/>
      <w:r>
        <w:rPr>
          <w:rStyle w:val="CharSectno"/>
        </w:rPr>
        <w:t>19</w:t>
      </w:r>
      <w:r>
        <w:rPr>
          <w:snapToGrid w:val="0"/>
        </w:rPr>
        <w:t>.</w:t>
      </w:r>
      <w:r>
        <w:rPr>
          <w:snapToGrid w:val="0"/>
        </w:rPr>
        <w:tab/>
        <w:t>Penalty on unauthorised persons practising as Public Notaries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3" w:name="_Toc88296932"/>
      <w:bookmarkStart w:id="84" w:name="_Toc88297053"/>
      <w:bookmarkStart w:id="85" w:name="_Toc89584762"/>
      <w:bookmarkStart w:id="86" w:name="_Toc95016597"/>
      <w:bookmarkStart w:id="87" w:name="_Toc95107371"/>
      <w:bookmarkStart w:id="88" w:name="_Toc102454808"/>
      <w:bookmarkStart w:id="89" w:name="_Toc102540168"/>
      <w:bookmarkStart w:id="90" w:name="_Toc121566117"/>
      <w:bookmarkStart w:id="91" w:name="_Toc170190947"/>
      <w:bookmarkStart w:id="92" w:name="_Toc199755379"/>
      <w:bookmarkStart w:id="93" w:name="_Toc199755452"/>
      <w:r>
        <w:t>Notes</w:t>
      </w:r>
      <w:bookmarkEnd w:id="83"/>
      <w:bookmarkEnd w:id="84"/>
      <w:bookmarkEnd w:id="85"/>
      <w:bookmarkEnd w:id="86"/>
      <w:bookmarkEnd w:id="87"/>
      <w:bookmarkEnd w:id="88"/>
      <w:bookmarkEnd w:id="89"/>
      <w:bookmarkEnd w:id="90"/>
      <w:bookmarkEnd w:id="91"/>
      <w:bookmarkEnd w:id="92"/>
      <w:bookmarkEnd w:id="93"/>
    </w:p>
    <w:p>
      <w:pPr>
        <w:pStyle w:val="nSubsection"/>
        <w:rPr>
          <w:snapToGrid w:val="0"/>
        </w:rPr>
      </w:pPr>
      <w:bookmarkStart w:id="94"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5" w:name="_Toc170190948"/>
      <w:bookmarkStart w:id="96" w:name="_Toc199755453"/>
      <w:r>
        <w:rPr>
          <w:snapToGrid w:val="0"/>
        </w:rPr>
        <w:t>Compilation table</w:t>
      </w:r>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Borders>
              <w:bottom w:val="single" w:sz="4" w:space="0" w:color="auto"/>
            </w:tcBorders>
          </w:tcPr>
          <w:p>
            <w:pPr>
              <w:pStyle w:val="nTable"/>
              <w:rPr>
                <w:i/>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rPr>
                <w:snapToGrid w:val="0"/>
                <w:sz w:val="19"/>
                <w:lang w:val="en-US"/>
              </w:rPr>
            </w:pPr>
            <w:r>
              <w:rPr>
                <w:sz w:val="19"/>
              </w:rPr>
              <w:t>24 of 2005</w:t>
            </w:r>
          </w:p>
        </w:tc>
        <w:tc>
          <w:tcPr>
            <w:tcW w:w="1134" w:type="dxa"/>
            <w:tcBorders>
              <w:bottom w:val="single" w:sz="4" w:space="0" w:color="auto"/>
            </w:tcBorders>
          </w:tcPr>
          <w:p>
            <w:pPr>
              <w:pStyle w:val="nTable"/>
              <w:rPr>
                <w:sz w:val="19"/>
              </w:rPr>
            </w:pPr>
            <w:r>
              <w:rPr>
                <w:sz w:val="19"/>
              </w:rPr>
              <w:t>2 Dec 2005</w:t>
            </w:r>
          </w:p>
        </w:tc>
        <w:tc>
          <w:tcPr>
            <w:tcW w:w="2551" w:type="dxa"/>
            <w:tcBorders>
              <w:bottom w:val="single" w:sz="4" w:space="0" w:color="auto"/>
            </w:tcBorders>
          </w:tcPr>
          <w:p>
            <w:pPr>
              <w:pStyle w:val="nTable"/>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 w:name="_Toc534778309"/>
      <w:bookmarkStart w:id="98" w:name="_Toc7405063"/>
      <w:bookmarkStart w:id="99" w:name="_Toc199755454"/>
      <w:r>
        <w:rPr>
          <w:snapToGrid w:val="0"/>
        </w:rPr>
        <w:t>Provisions that have not come into operation</w:t>
      </w:r>
      <w:bookmarkEnd w:id="97"/>
      <w:bookmarkEnd w:id="98"/>
      <w:bookmarkEnd w:id="9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694 </w:t>
            </w:r>
            <w:r>
              <w:rPr>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694</w:t>
      </w:r>
      <w:r>
        <w:rPr>
          <w:snapToGrid w:val="0"/>
        </w:rPr>
        <w:t xml:space="preserve"> had not come into operation.  It reads as follows:</w:t>
      </w:r>
    </w:p>
    <w:p>
      <w:pPr>
        <w:pStyle w:val="MiscOpen"/>
        <w:rPr>
          <w:snapToGrid w:val="0"/>
        </w:rPr>
      </w:pPr>
      <w:r>
        <w:rPr>
          <w:snapToGrid w:val="0"/>
        </w:rPr>
        <w:t>“</w:t>
      </w:r>
    </w:p>
    <w:p>
      <w:pPr>
        <w:pStyle w:val="nzHeading5"/>
      </w:pPr>
      <w:bookmarkStart w:id="100" w:name="_Toc198708672"/>
      <w:r>
        <w:rPr>
          <w:rStyle w:val="CharSectno"/>
        </w:rPr>
        <w:t>694</w:t>
      </w:r>
      <w:r>
        <w:t>.</w:t>
      </w:r>
      <w:r>
        <w:tab/>
      </w:r>
      <w:r>
        <w:rPr>
          <w:i/>
          <w:iCs/>
        </w:rPr>
        <w:t>Public Notaries Act 1979</w:t>
      </w:r>
      <w:r>
        <w:t xml:space="preserve"> amended</w:t>
      </w:r>
      <w:bookmarkEnd w:id="100"/>
    </w:p>
    <w:p>
      <w:pPr>
        <w:pStyle w:val="nzSubsection"/>
      </w:pPr>
      <w:r>
        <w:tab/>
        <w:t>(1)</w:t>
      </w:r>
      <w:r>
        <w:tab/>
        <w:t xml:space="preserve">The amendments in this section are to the </w:t>
      </w:r>
      <w:r>
        <w:rPr>
          <w:i/>
          <w:iCs/>
        </w:rPr>
        <w:t>Public Notaries Act 1979</w:t>
      </w:r>
      <w:r>
        <w:t>.</w:t>
      </w:r>
    </w:p>
    <w:p>
      <w:pPr>
        <w:pStyle w:val="nzSubsection"/>
      </w:pPr>
      <w:r>
        <w:tab/>
        <w:t>(2)</w:t>
      </w:r>
      <w:r>
        <w:tab/>
        <w:t xml:space="preserve">Section 3 is amended by inserting after the definition of “applicant” — </w:t>
      </w:r>
    </w:p>
    <w:p>
      <w:pPr>
        <w:pStyle w:val="MiscOpen"/>
        <w:ind w:left="880"/>
      </w:pPr>
      <w:r>
        <w:t xml:space="preserve">“    </w:t>
      </w:r>
    </w:p>
    <w:p>
      <w:pPr>
        <w:pStyle w:val="nzDefstart"/>
      </w:pPr>
      <w:r>
        <w:rPr>
          <w:b/>
        </w:rPr>
        <w:tab/>
      </w:r>
      <w:r>
        <w:rPr>
          <w:rStyle w:val="CharDefText"/>
        </w:rPr>
        <w:t>Australian lawyer</w:t>
      </w:r>
      <w:r>
        <w:t xml:space="preserve"> has the meaning given in the </w:t>
      </w:r>
      <w:r>
        <w:rPr>
          <w:i/>
          <w:iCs/>
        </w:rPr>
        <w:t>Legal Profession Act 2008</w:t>
      </w:r>
      <w:r>
        <w:t xml:space="preserve"> section 3;</w:t>
      </w:r>
    </w:p>
    <w:p>
      <w:pPr>
        <w:pStyle w:val="MiscClose"/>
      </w:pPr>
      <w:r>
        <w:t xml:space="preserve">    ”.</w:t>
      </w:r>
    </w:p>
    <w:p>
      <w:pPr>
        <w:pStyle w:val="nzSubsection"/>
      </w:pPr>
      <w:r>
        <w:tab/>
        <w:t>(3)</w:t>
      </w:r>
      <w:r>
        <w:tab/>
        <w:t xml:space="preserve">Section 7(2)(a) is amended by deleting “on the Roll of Practitioners under the </w:t>
      </w:r>
      <w:r>
        <w:rPr>
          <w:i/>
          <w:iCs/>
        </w:rPr>
        <w:t>Legal Practice Act 2003</w:t>
      </w:r>
      <w:r>
        <w:t xml:space="preserve"> and is not pursuant to that Act under suspension from practice;” and inserting instead — </w:t>
      </w:r>
    </w:p>
    <w:p>
      <w:pPr>
        <w:pStyle w:val="MiscOpen"/>
        <w:ind w:left="1620"/>
      </w:pPr>
      <w:r>
        <w:t xml:space="preserve">“    </w:t>
      </w:r>
    </w:p>
    <w:p>
      <w:pPr>
        <w:pStyle w:val="nzIndenta"/>
      </w:pPr>
      <w:r>
        <w:tab/>
      </w:r>
      <w:r>
        <w:tab/>
        <w:t>an Australian lawyer and is not under suspension from legal practice;</w:t>
      </w:r>
    </w:p>
    <w:p>
      <w:pPr>
        <w:pStyle w:val="MiscClose"/>
      </w:pPr>
      <w:r>
        <w:t xml:space="preserve">    ”.</w:t>
      </w:r>
    </w:p>
    <w:p>
      <w:pPr>
        <w:pStyle w:val="nzSubsection"/>
      </w:pPr>
      <w:r>
        <w:tab/>
        <w:t>(4)</w:t>
      </w:r>
      <w:r>
        <w:tab/>
        <w:t xml:space="preserve">Section 15A is amended by deleting “legal costs determination (as defined in the </w:t>
      </w:r>
      <w:r>
        <w:rPr>
          <w:i/>
          <w:iCs/>
        </w:rPr>
        <w:t>Legal Practice Act 2003</w:t>
      </w:r>
      <w:r>
        <w:t xml:space="preserve">).” and inserting instead — </w:t>
      </w:r>
    </w:p>
    <w:p>
      <w:pPr>
        <w:pStyle w:val="MiscOpen"/>
        <w:ind w:left="880" w:hanging="29"/>
      </w:pPr>
      <w:r>
        <w:t xml:space="preserve">“    </w:t>
      </w:r>
    </w:p>
    <w:p>
      <w:pPr>
        <w:pStyle w:val="nzSubsection"/>
      </w:pPr>
      <w:r>
        <w:tab/>
      </w:r>
      <w:r>
        <w:tab/>
        <w:t>costs determination (as defined in the</w:t>
      </w:r>
      <w:r>
        <w:rPr>
          <w:i/>
          <w:iCs/>
        </w:rPr>
        <w:t xml:space="preserve"> Legal Profession Act 2008 </w:t>
      </w:r>
      <w:r>
        <w:t>section 252).</w:t>
      </w:r>
    </w:p>
    <w:p>
      <w:pPr>
        <w:pStyle w:val="MiscClose"/>
      </w:pPr>
      <w:r>
        <w:t xml:space="preserve">    ”.</w:t>
      </w:r>
    </w:p>
    <w:p>
      <w:pPr>
        <w:pStyle w:val="nzSubsection"/>
      </w:pPr>
      <w:r>
        <w:tab/>
        <w:t>(5)</w:t>
      </w:r>
      <w:r>
        <w:tab/>
        <w:t>Section 16(2)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4052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CFAC99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21"/>
    <w:docVar w:name="WAFER_20151209085021" w:val="RemoveTrackChanges"/>
    <w:docVar w:name="WAFER_20151209085021_GUID" w:val="f1d2c6ae-95b3-4adc-b54c-280b8c0f82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2797</Words>
  <Characters>13037</Characters>
  <Application>Microsoft Office Word</Application>
  <DocSecurity>0</DocSecurity>
  <Lines>395</Lines>
  <Paragraphs>247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1979 - 01-f0-05</dc:title>
  <dc:subject/>
  <dc:creator/>
  <cp:keywords/>
  <dc:description/>
  <cp:lastModifiedBy>svcMRProcess</cp:lastModifiedBy>
  <cp:revision>4</cp:revision>
  <cp:lastPrinted>2003-09-08T03:33:00Z</cp:lastPrinted>
  <dcterms:created xsi:type="dcterms:W3CDTF">2015-12-12T23:57:00Z</dcterms:created>
  <dcterms:modified xsi:type="dcterms:W3CDTF">2015-12-12T23:57:00Z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645</vt:i4>
  </property>
  <property fmtid="{D5CDD505-2E9C-101B-9397-08002B2CF9AE}" pid="6" name="AsAtDate">
    <vt:lpwstr>27 May 2008</vt:lpwstr>
  </property>
  <property fmtid="{D5CDD505-2E9C-101B-9397-08002B2CF9AE}" pid="7" name="Suffix">
    <vt:lpwstr>01-f0-05</vt:lpwstr>
  </property>
</Properties>
</file>