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_Toc389745293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_Toc389745294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_Toc389745295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_Toc389745296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_Toc389745297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_Toc389745298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_Toc389745299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_Toc389745301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_Toc389745302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_Toc389745303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_Toc389745304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_Toc389745305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_Toc389745306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_Toc389745307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_Toc389745308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_Toc389745309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_Toc389745310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_Toc389745311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_Toc389745312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_Toc389745315 \h </w:instrText>
      </w:r>
      <w:r>
        <w:fldChar w:fldCharType="separate"/>
      </w:r>
      <w:r>
        <w:t>14</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_Toc389745316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_Toc389745317 \h </w:instrText>
      </w:r>
      <w:r>
        <w:fldChar w:fldCharType="separate"/>
      </w:r>
      <w:r>
        <w:t>16</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_Toc389745318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_Toc389745319 \h </w:instrText>
      </w:r>
      <w:r>
        <w:fldChar w:fldCharType="separate"/>
      </w:r>
      <w:r>
        <w:t>17</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_Toc389745320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_Toc389745322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_Toc389745323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_Toc389745324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_Toc389745325 \h </w:instrText>
      </w:r>
      <w:r>
        <w:fldChar w:fldCharType="separate"/>
      </w:r>
      <w:r>
        <w:t>21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_Toc389745326 \h </w:instrText>
      </w:r>
      <w:r>
        <w:fldChar w:fldCharType="separate"/>
      </w:r>
      <w:r>
        <w:t>22</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_Toc389745327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_Toc389745328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_Toc389745329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_Toc389745330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_Toc389745331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_Toc389745333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_Toc389745334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_Toc389745335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_Toc389745336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_Toc389745337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_Toc389745338 \h </w:instrText>
      </w:r>
      <w:r>
        <w:fldChar w:fldCharType="separate"/>
      </w:r>
      <w:r>
        <w:t>26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_Toc389745339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_Toc389745340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_Toc389745342 \h </w:instrText>
      </w:r>
      <w:r>
        <w:fldChar w:fldCharType="separate"/>
      </w:r>
      <w:r>
        <w:t>29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_Toc389745343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_Toc389745344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_Toc389745345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_Toc389745347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_Toc389745348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_Toc389745349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_Toc389745350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_Toc389745351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_Toc389745353 \h </w:instrText>
      </w:r>
      <w:r>
        <w:fldChar w:fldCharType="separate"/>
      </w:r>
      <w:r>
        <w:t>35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_Toc389745354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_Toc389745355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_Toc389745356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_Toc389745357 \h </w:instrText>
      </w:r>
      <w:r>
        <w:fldChar w:fldCharType="separate"/>
      </w:r>
      <w:r>
        <w:t>37</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_Toc389745358 \h </w:instrText>
      </w:r>
      <w:r>
        <w:fldChar w:fldCharType="separate"/>
      </w:r>
      <w:r>
        <w:t>38</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_Toc389745359 \h </w:instrText>
      </w:r>
      <w:r>
        <w:fldChar w:fldCharType="separate"/>
      </w:r>
      <w:r>
        <w:t>38</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_Toc389745360 \h </w:instrText>
      </w:r>
      <w:r>
        <w:fldChar w:fldCharType="separate"/>
      </w:r>
      <w:r>
        <w:t>39</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_Toc389745361 \h </w:instrText>
      </w:r>
      <w:r>
        <w:fldChar w:fldCharType="separate"/>
      </w:r>
      <w:r>
        <w:t>39</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_Toc389745362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_Toc389745363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_Toc389745364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_Toc389745365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_Toc389745366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_Toc389745367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_Toc389745368 \h </w:instrText>
      </w:r>
      <w:r>
        <w:fldChar w:fldCharType="separate"/>
      </w:r>
      <w:r>
        <w:t>44</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_Toc389745369 \h </w:instrText>
      </w:r>
      <w:r>
        <w:fldChar w:fldCharType="separate"/>
      </w:r>
      <w:r>
        <w:t>45</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_Toc389745370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_Toc389745371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_Toc389745372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_Toc389745373 \h </w:instrText>
      </w:r>
      <w:r>
        <w:fldChar w:fldCharType="separate"/>
      </w:r>
      <w:r>
        <w:t>46</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_Toc389745374 \h </w:instrText>
      </w:r>
      <w:r>
        <w:fldChar w:fldCharType="separate"/>
      </w:r>
      <w:r>
        <w:t>51</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_Toc389745375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_Toc389745377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_Toc389745390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_Toc389745391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292"/>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29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29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295"/>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 </w:t>
      </w:r>
      <w:r>
        <w:rPr>
          <w:i/>
        </w:rPr>
        <w:t>Medical Act 1894</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5" w:name="_Toc389745296"/>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297"/>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298"/>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299"/>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300"/>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301"/>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1" w:name="_Toc389745302"/>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303"/>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304"/>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305"/>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306"/>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307"/>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308"/>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309"/>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310"/>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311"/>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312"/>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313"/>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314"/>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315"/>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316"/>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317"/>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318"/>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319"/>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320"/>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321"/>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322"/>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323"/>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324"/>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325"/>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326"/>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327"/>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328"/>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329"/>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330"/>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331"/>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332"/>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333"/>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334"/>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335"/>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336"/>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337"/>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338"/>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339"/>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340"/>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341"/>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342"/>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343"/>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344"/>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345"/>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346"/>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347"/>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348"/>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349"/>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350"/>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351"/>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352"/>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353"/>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354"/>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355"/>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356"/>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357"/>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358"/>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359"/>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360"/>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361"/>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362"/>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363"/>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364"/>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365"/>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366"/>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367"/>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368"/>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78" w:name="_Toc389745369"/>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370"/>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371"/>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372"/>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373"/>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374"/>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375"/>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376"/>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377"/>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378"/>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379"/>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380"/>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381"/>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382"/>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383"/>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384"/>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385"/>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386"/>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387"/>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388"/>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389"/>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390"/>
      <w:r>
        <w:rPr>
          <w:snapToGrid w:val="0"/>
        </w:rPr>
        <w:t>Compilation table</w:t>
      </w:r>
      <w:bookmarkEnd w:id="99"/>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gridSpan w:val="2"/>
            <w:tcBorders>
              <w:top w:val="nil"/>
              <w:bottom w:val="nil"/>
            </w:tcBorders>
          </w:tcPr>
          <w:p>
            <w:pPr>
              <w:pStyle w:val="nTable"/>
              <w:spacing w:after="40"/>
              <w:rPr>
                <w:snapToGrid w:val="0"/>
                <w:sz w:val="19"/>
              </w:rPr>
            </w:pPr>
            <w:r>
              <w:rPr>
                <w:snapToGrid w:val="0"/>
                <w:sz w:val="19"/>
              </w:rPr>
              <w:t>59 of 2004 (as amended by No. 2 of 2008 s. 77(13))</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4"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4" w:space="0" w:color="auto"/>
            </w:tcBorders>
          </w:tcPr>
          <w:p>
            <w:pPr>
              <w:pStyle w:val="nTable"/>
              <w:spacing w:after="40"/>
              <w:rPr>
                <w:snapToGrid w:val="0"/>
                <w:sz w:val="19"/>
              </w:rPr>
            </w:pPr>
            <w:r>
              <w:rPr>
                <w:snapToGrid w:val="0"/>
                <w:sz w:val="19"/>
              </w:rPr>
              <w:t>50 of 2006</w:t>
            </w:r>
          </w:p>
        </w:tc>
        <w:tc>
          <w:tcPr>
            <w:tcW w:w="1137" w:type="dxa"/>
            <w:gridSpan w:val="2"/>
            <w:tcBorders>
              <w:bottom w:val="single" w:sz="4" w:space="0" w:color="auto"/>
            </w:tcBorders>
          </w:tcPr>
          <w:p>
            <w:pPr>
              <w:pStyle w:val="nTable"/>
              <w:spacing w:after="40"/>
              <w:rPr>
                <w:sz w:val="19"/>
              </w:rPr>
            </w:pPr>
            <w:r>
              <w:rPr>
                <w:sz w:val="19"/>
              </w:rPr>
              <w:t>6 Oct 2006</w:t>
            </w:r>
          </w:p>
        </w:tc>
        <w:tc>
          <w:tcPr>
            <w:tcW w:w="2552" w:type="dxa"/>
            <w:tcBorders>
              <w:bottom w:val="single" w:sz="4"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391"/>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23" w:type="dxa"/>
            <w:tcBorders>
              <w:top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tcBorders>
          </w:tcPr>
          <w:p>
            <w:pPr>
              <w:pStyle w:val="nTable"/>
              <w:spacing w:before="100"/>
              <w:rPr>
                <w:sz w:val="19"/>
              </w:rPr>
            </w:pPr>
            <w:r>
              <w:rPr>
                <w:snapToGrid w:val="0"/>
                <w:sz w:val="19"/>
              </w:rPr>
              <w:t>12 Oct 2007</w:t>
            </w:r>
          </w:p>
        </w:tc>
        <w:tc>
          <w:tcPr>
            <w:tcW w:w="2520" w:type="dxa"/>
            <w:tcBorders>
              <w:top w:val="single" w:sz="4" w:space="0" w:color="auto"/>
            </w:tcBorders>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c>
          <w:tcPr>
            <w:tcW w:w="2223" w:type="dxa"/>
            <w:tcBorders>
              <w:bottom w:val="single" w:sz="4" w:space="0" w:color="auto"/>
            </w:tcBorders>
          </w:tcPr>
          <w:p>
            <w:pPr>
              <w:pStyle w:val="nTable"/>
              <w:spacing w:before="10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9</w:t>
            </w:r>
          </w:p>
        </w:tc>
        <w:tc>
          <w:tcPr>
            <w:tcW w:w="1112" w:type="dxa"/>
            <w:tcBorders>
              <w:bottom w:val="single" w:sz="4" w:space="0" w:color="auto"/>
            </w:tcBorders>
          </w:tcPr>
          <w:p>
            <w:pPr>
              <w:pStyle w:val="nTable"/>
              <w:spacing w:before="100"/>
              <w:rPr>
                <w:snapToGrid w:val="0"/>
                <w:sz w:val="19"/>
              </w:rPr>
            </w:pPr>
            <w:r>
              <w:rPr>
                <w:sz w:val="19"/>
              </w:rPr>
              <w:t>22 of 2008</w:t>
            </w:r>
          </w:p>
        </w:tc>
        <w:tc>
          <w:tcPr>
            <w:tcW w:w="1225" w:type="dxa"/>
            <w:tcBorders>
              <w:bottom w:val="single" w:sz="4" w:space="0" w:color="auto"/>
            </w:tcBorders>
          </w:tcPr>
          <w:p>
            <w:pPr>
              <w:pStyle w:val="nTable"/>
              <w:spacing w:before="100"/>
              <w:rPr>
                <w:snapToGrid w:val="0"/>
                <w:sz w:val="19"/>
              </w:rPr>
            </w:pPr>
            <w:r>
              <w:rPr>
                <w:sz w:val="19"/>
              </w:rPr>
              <w:t>27 May 2008</w:t>
            </w:r>
          </w:p>
        </w:tc>
        <w:tc>
          <w:tcPr>
            <w:tcW w:w="2520" w:type="dxa"/>
            <w:tcBorders>
              <w:bottom w:val="single" w:sz="4" w:space="0" w:color="auto"/>
            </w:tcBorders>
          </w:tcPr>
          <w:p>
            <w:pPr>
              <w:pStyle w:val="nTable"/>
              <w:spacing w:before="100"/>
              <w:rPr>
                <w:snapToGrid w:val="0"/>
                <w:sz w:val="19"/>
              </w:rPr>
            </w:pPr>
            <w:r>
              <w:rPr>
                <w:sz w:val="19"/>
              </w:rPr>
              <w:t>To be proclaimed (see s. 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t>Footnote no longer applicable.</w:t>
      </w:r>
    </w:p>
    <w:p>
      <w:pPr>
        <w:pStyle w:val="nSubsection"/>
        <w:keepLines/>
        <w:rPr>
          <w:snapToGrid w:val="0"/>
        </w:rPr>
      </w:pPr>
      <w:bookmarkStart w:id="101" w:name="AutoSch"/>
      <w:bookmarkEnd w:id="10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46,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46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46</w:t>
      </w:r>
      <w:r>
        <w:t>.</w:t>
      </w:r>
      <w:r>
        <w:tab/>
      </w:r>
      <w:r>
        <w:rPr>
          <w:i/>
          <w:iCs/>
        </w:rPr>
        <w:t>Poisons Act 1964</w:t>
      </w:r>
      <w:r>
        <w:t xml:space="preserve"> amended</w:t>
      </w:r>
    </w:p>
    <w:p>
      <w:pPr>
        <w:pStyle w:val="nzSubsection"/>
      </w:pPr>
      <w:r>
        <w:tab/>
        <w:t>(1)</w:t>
      </w:r>
      <w:r>
        <w:tab/>
        <w:t xml:space="preserve">The amendments in this clause are to the </w:t>
      </w:r>
      <w:r>
        <w:rPr>
          <w:i/>
        </w:rPr>
        <w:t>Poisons Act 1964</w:t>
      </w:r>
      <w:r>
        <w:t>.</w:t>
      </w:r>
    </w:p>
    <w:p>
      <w:pPr>
        <w:pStyle w:val="nzSubsection"/>
      </w:pPr>
      <w:r>
        <w:tab/>
        <w:t>(2)</w:t>
      </w:r>
      <w:r>
        <w:tab/>
        <w:t>Section 5(1)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nz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rPr>
          <w:sz w:val="20"/>
        </w:rPr>
      </w:pPr>
      <w:r>
        <w:rPr>
          <w:sz w:val="20"/>
        </w:rPr>
        <w:tab/>
      </w:r>
      <w:r>
        <w:rPr>
          <w:sz w:val="20"/>
        </w:rPr>
        <w:tab/>
        <w:t xml:space="preserve">of Western Australia established under the </w:t>
      </w:r>
      <w:r>
        <w:rPr>
          <w:i/>
          <w:iCs/>
          <w:sz w:val="20"/>
        </w:rPr>
        <w:t>Medical Practitioners Act 2008</w:t>
      </w:r>
      <w:r>
        <w:rPr>
          <w:iCs/>
          <w:sz w:val="20"/>
        </w:rPr>
        <w:t>;</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101"/>
    <w:docVar w:name="WAFER_20140605151101" w:val="RemoveTocBookmarks,RemoveUnusedBookmarks,RemoveLanguageTags,UsedStyles,ResetPageSize"/>
    <w:docVar w:name="WAFER_20140605151101_GUID" w:val="699fe3df-979b-4c04-b24b-2f020da71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16851</Words>
  <Characters>78868</Characters>
  <Application>Microsoft Office Word</Application>
  <DocSecurity>0</DocSecurity>
  <Lines>2190</Lines>
  <Paragraphs>1259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1964 - 07-j0-05</dc:title>
  <dc:subject/>
  <dc:creator/>
  <cp:keywords/>
  <dc:description/>
  <cp:lastModifiedBy>svcMRProcess</cp:lastModifiedBy>
  <cp:revision>4</cp:revision>
  <cp:lastPrinted>2006-09-06T01:41:00Z</cp:lastPrinted>
  <dcterms:created xsi:type="dcterms:W3CDTF">2018-09-06T20:27:00Z</dcterms:created>
  <dcterms:modified xsi:type="dcterms:W3CDTF">2018-09-06T20:27:00Z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27 May 2008</vt:lpwstr>
  </property>
  <property fmtid="{D5CDD505-2E9C-101B-9397-08002B2CF9AE}" pid="8" name="Suffix">
    <vt:lpwstr>07-j0-05</vt:lpwstr>
  </property>
</Properties>
</file>