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Railways (Access)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_Toc202172845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_Toc202172846 \h </w:instrText>
      </w:r>
      <w:r>
        <w:fldChar w:fldCharType="separate"/>
      </w:r>
      <w:r>
        <w:t>2</w:t>
      </w:r>
      <w:r>
        <w:fldChar w:fldCharType="end"/>
      </w:r>
    </w:p>
    <w:p>
      <w:pPr>
        <w:pStyle w:val="TOC8"/>
        <w:rPr>
          <w:sz w:val="24"/>
          <w:szCs w:val="24"/>
        </w:rPr>
      </w:pPr>
      <w:r>
        <w:rPr>
          <w:szCs w:val="24"/>
        </w:rPr>
        <w:t>2A.</w:t>
      </w:r>
      <w:r>
        <w:rPr>
          <w:szCs w:val="24"/>
        </w:rPr>
        <w:tab/>
        <w:t>Object of the Act</w:t>
      </w:r>
      <w:r>
        <w:tab/>
      </w:r>
      <w:r>
        <w:fldChar w:fldCharType="begin"/>
      </w:r>
      <w:r>
        <w:instrText xml:space="preserve"> PAGEREF _Toc202172847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_Toc202172848 \h </w:instrText>
      </w:r>
      <w:r>
        <w:fldChar w:fldCharType="separate"/>
      </w:r>
      <w:r>
        <w:t>2</w:t>
      </w:r>
      <w:r>
        <w:fldChar w:fldCharType="end"/>
      </w:r>
    </w:p>
    <w:p>
      <w:pPr>
        <w:pStyle w:val="TOC8"/>
        <w:rPr>
          <w:sz w:val="24"/>
          <w:szCs w:val="24"/>
        </w:rPr>
      </w:pPr>
      <w:r>
        <w:rPr>
          <w:szCs w:val="24"/>
        </w:rPr>
        <w:t>3A.</w:t>
      </w:r>
      <w:r>
        <w:rPr>
          <w:szCs w:val="24"/>
        </w:rPr>
        <w:tab/>
        <w:t>Scope of access rights clarified</w:t>
      </w:r>
      <w:r>
        <w:tab/>
      </w:r>
      <w:r>
        <w:fldChar w:fldCharType="begin"/>
      </w:r>
      <w:r>
        <w:instrText xml:space="preserve"> PAGEREF _Toc202172849 \h </w:instrText>
      </w:r>
      <w:r>
        <w:fldChar w:fldCharType="separate"/>
      </w:r>
      <w:r>
        <w:t>5</w:t>
      </w:r>
      <w:r>
        <w:fldChar w:fldCharType="end"/>
      </w:r>
    </w:p>
    <w:p>
      <w:pPr>
        <w:pStyle w:val="TOC8"/>
        <w:rPr>
          <w:sz w:val="24"/>
          <w:szCs w:val="24"/>
        </w:rPr>
      </w:pPr>
      <w:r>
        <w:rPr>
          <w:szCs w:val="24"/>
        </w:rPr>
        <w:t>3B.</w:t>
      </w:r>
      <w:r>
        <w:rPr>
          <w:szCs w:val="24"/>
        </w:rPr>
        <w:tab/>
        <w:t>Access rights may bind person through whom title derives in certain cases</w:t>
      </w:r>
      <w:r>
        <w:tab/>
      </w:r>
      <w:r>
        <w:fldChar w:fldCharType="begin"/>
      </w:r>
      <w:r>
        <w:instrText xml:space="preserve"> PAGEREF _Toc202172850 \h </w:instrText>
      </w:r>
      <w:r>
        <w:fldChar w:fldCharType="separate"/>
      </w:r>
      <w:r>
        <w:t>5</w:t>
      </w:r>
      <w:r>
        <w:fldChar w:fldCharType="end"/>
      </w:r>
    </w:p>
    <w:p>
      <w:pPr>
        <w:pStyle w:val="TOC2"/>
        <w:tabs>
          <w:tab w:val="right" w:leader="dot" w:pos="7086"/>
        </w:tabs>
        <w:rPr>
          <w:b w:val="0"/>
          <w:sz w:val="24"/>
          <w:szCs w:val="24"/>
        </w:rPr>
      </w:pPr>
      <w:r>
        <w:rPr>
          <w:szCs w:val="30"/>
        </w:rPr>
        <w:t>Part 2 — Establishment of Code</w:t>
      </w:r>
    </w:p>
    <w:p>
      <w:pPr>
        <w:pStyle w:val="TOC8"/>
        <w:rPr>
          <w:sz w:val="24"/>
          <w:szCs w:val="24"/>
        </w:rPr>
      </w:pPr>
      <w:r>
        <w:rPr>
          <w:szCs w:val="24"/>
        </w:rPr>
        <w:t>4.</w:t>
      </w:r>
      <w:r>
        <w:rPr>
          <w:szCs w:val="24"/>
        </w:rPr>
        <w:tab/>
        <w:t>Minister to establish Code</w:t>
      </w:r>
      <w:r>
        <w:tab/>
      </w:r>
      <w:r>
        <w:fldChar w:fldCharType="begin"/>
      </w:r>
      <w:r>
        <w:instrText xml:space="preserve"> PAGEREF _Toc202172852 \h </w:instrText>
      </w:r>
      <w:r>
        <w:fldChar w:fldCharType="separate"/>
      </w:r>
      <w:r>
        <w:t>7</w:t>
      </w:r>
      <w:r>
        <w:fldChar w:fldCharType="end"/>
      </w:r>
    </w:p>
    <w:p>
      <w:pPr>
        <w:pStyle w:val="TOC8"/>
        <w:rPr>
          <w:sz w:val="24"/>
          <w:szCs w:val="24"/>
        </w:rPr>
      </w:pPr>
      <w:r>
        <w:rPr>
          <w:szCs w:val="24"/>
        </w:rPr>
        <w:t>5.</w:t>
      </w:r>
      <w:r>
        <w:rPr>
          <w:szCs w:val="24"/>
        </w:rPr>
        <w:tab/>
        <w:t>Criteria to be considered in applying Code to particular routes</w:t>
      </w:r>
      <w:r>
        <w:tab/>
      </w:r>
      <w:r>
        <w:fldChar w:fldCharType="begin"/>
      </w:r>
      <w:r>
        <w:instrText xml:space="preserve"> PAGEREF _Toc202172853 \h </w:instrText>
      </w:r>
      <w:r>
        <w:fldChar w:fldCharType="separate"/>
      </w:r>
      <w:r>
        <w:t>8</w:t>
      </w:r>
      <w:r>
        <w:fldChar w:fldCharType="end"/>
      </w:r>
    </w:p>
    <w:p>
      <w:pPr>
        <w:pStyle w:val="TOC8"/>
        <w:rPr>
          <w:sz w:val="24"/>
          <w:szCs w:val="24"/>
        </w:rPr>
      </w:pPr>
      <w:r>
        <w:rPr>
          <w:szCs w:val="24"/>
        </w:rPr>
        <w:t>6.</w:t>
      </w:r>
      <w:r>
        <w:rPr>
          <w:szCs w:val="24"/>
        </w:rPr>
        <w:tab/>
        <w:t>Other matters for which Code may make provision</w:t>
      </w:r>
      <w:r>
        <w:tab/>
      </w:r>
      <w:r>
        <w:fldChar w:fldCharType="begin"/>
      </w:r>
      <w:r>
        <w:instrText xml:space="preserve"> PAGEREF _Toc202172854 \h </w:instrText>
      </w:r>
      <w:r>
        <w:fldChar w:fldCharType="separate"/>
      </w:r>
      <w:r>
        <w:t>9</w:t>
      </w:r>
      <w:r>
        <w:fldChar w:fldCharType="end"/>
      </w:r>
    </w:p>
    <w:p>
      <w:pPr>
        <w:pStyle w:val="TOC8"/>
        <w:rPr>
          <w:sz w:val="24"/>
          <w:szCs w:val="24"/>
        </w:rPr>
      </w:pPr>
      <w:r>
        <w:rPr>
          <w:szCs w:val="24"/>
        </w:rPr>
        <w:t>7.</w:t>
      </w:r>
      <w:r>
        <w:rPr>
          <w:szCs w:val="24"/>
        </w:rPr>
        <w:tab/>
        <w:t>Code does not affect existing agreements</w:t>
      </w:r>
      <w:r>
        <w:tab/>
      </w:r>
      <w:r>
        <w:fldChar w:fldCharType="begin"/>
      </w:r>
      <w:r>
        <w:instrText xml:space="preserve"> PAGEREF _Toc202172855 \h </w:instrText>
      </w:r>
      <w:r>
        <w:fldChar w:fldCharType="separate"/>
      </w:r>
      <w:r>
        <w:t>9</w:t>
      </w:r>
      <w:r>
        <w:fldChar w:fldCharType="end"/>
      </w:r>
    </w:p>
    <w:p>
      <w:pPr>
        <w:pStyle w:val="TOC8"/>
        <w:rPr>
          <w:sz w:val="24"/>
          <w:szCs w:val="24"/>
        </w:rPr>
      </w:pPr>
      <w:r>
        <w:rPr>
          <w:szCs w:val="24"/>
        </w:rPr>
        <w:t>8.</w:t>
      </w:r>
      <w:r>
        <w:rPr>
          <w:szCs w:val="24"/>
        </w:rPr>
        <w:tab/>
        <w:t xml:space="preserve">Code is subject to </w:t>
      </w:r>
      <w:r>
        <w:rPr>
          <w:i/>
          <w:szCs w:val="24"/>
        </w:rPr>
        <w:t>Rail Safety Act 1998</w:t>
      </w:r>
      <w:r>
        <w:tab/>
      </w:r>
      <w:r>
        <w:fldChar w:fldCharType="begin"/>
      </w:r>
      <w:r>
        <w:instrText xml:space="preserve"> PAGEREF _Toc202172856 \h </w:instrText>
      </w:r>
      <w:r>
        <w:fldChar w:fldCharType="separate"/>
      </w:r>
      <w:r>
        <w:t>10</w:t>
      </w:r>
      <w:r>
        <w:fldChar w:fldCharType="end"/>
      </w:r>
    </w:p>
    <w:p>
      <w:pPr>
        <w:pStyle w:val="TOC8"/>
        <w:rPr>
          <w:sz w:val="24"/>
          <w:szCs w:val="24"/>
        </w:rPr>
      </w:pPr>
      <w:r>
        <w:rPr>
          <w:szCs w:val="24"/>
        </w:rPr>
        <w:t>9.</w:t>
      </w:r>
      <w:r>
        <w:rPr>
          <w:szCs w:val="24"/>
        </w:rPr>
        <w:tab/>
        <w:t>Code is subsidiary legislation</w:t>
      </w:r>
      <w:r>
        <w:tab/>
      </w:r>
      <w:r>
        <w:fldChar w:fldCharType="begin"/>
      </w:r>
      <w:r>
        <w:instrText xml:space="preserve"> PAGEREF _Toc202172857 \h </w:instrText>
      </w:r>
      <w:r>
        <w:fldChar w:fldCharType="separate"/>
      </w:r>
      <w:r>
        <w:t>10</w:t>
      </w:r>
      <w:r>
        <w:fldChar w:fldCharType="end"/>
      </w:r>
    </w:p>
    <w:p>
      <w:pPr>
        <w:pStyle w:val="TOC8"/>
        <w:rPr>
          <w:sz w:val="24"/>
          <w:szCs w:val="24"/>
        </w:rPr>
      </w:pPr>
      <w:r>
        <w:rPr>
          <w:szCs w:val="24"/>
        </w:rPr>
        <w:t>10.</w:t>
      </w:r>
      <w:r>
        <w:rPr>
          <w:szCs w:val="24"/>
        </w:rPr>
        <w:tab/>
        <w:t>Public comment on amendment or replacement of Code</w:t>
      </w:r>
      <w:r>
        <w:tab/>
      </w:r>
      <w:r>
        <w:fldChar w:fldCharType="begin"/>
      </w:r>
      <w:r>
        <w:instrText xml:space="preserve"> PAGEREF _Toc202172858 \h </w:instrText>
      </w:r>
      <w:r>
        <w:fldChar w:fldCharType="separate"/>
      </w:r>
      <w:r>
        <w:t>11</w:t>
      </w:r>
      <w:r>
        <w:fldChar w:fldCharType="end"/>
      </w:r>
    </w:p>
    <w:p>
      <w:pPr>
        <w:pStyle w:val="TOC8"/>
        <w:rPr>
          <w:sz w:val="24"/>
          <w:szCs w:val="24"/>
        </w:rPr>
      </w:pPr>
      <w:r>
        <w:rPr>
          <w:szCs w:val="24"/>
        </w:rPr>
        <w:t>11.</w:t>
      </w:r>
      <w:r>
        <w:rPr>
          <w:szCs w:val="24"/>
        </w:rPr>
        <w:tab/>
        <w:t>Exception to section 10</w:t>
      </w:r>
      <w:r>
        <w:tab/>
      </w:r>
      <w:r>
        <w:fldChar w:fldCharType="begin"/>
      </w:r>
      <w:r>
        <w:instrText xml:space="preserve"> PAGEREF _Toc202172859 \h </w:instrText>
      </w:r>
      <w:r>
        <w:fldChar w:fldCharType="separate"/>
      </w:r>
      <w:r>
        <w:t>12</w:t>
      </w:r>
      <w:r>
        <w:fldChar w:fldCharType="end"/>
      </w:r>
    </w:p>
    <w:p>
      <w:pPr>
        <w:pStyle w:val="TOC8"/>
        <w:rPr>
          <w:sz w:val="24"/>
          <w:szCs w:val="24"/>
        </w:rPr>
      </w:pPr>
      <w:r>
        <w:rPr>
          <w:szCs w:val="24"/>
        </w:rPr>
        <w:t>11A.</w:t>
      </w:r>
      <w:r>
        <w:rPr>
          <w:szCs w:val="24"/>
        </w:rPr>
        <w:tab/>
        <w:t>Consultation with railway owners on amendment or replacement of Code</w:t>
      </w:r>
      <w:r>
        <w:tab/>
      </w:r>
      <w:r>
        <w:fldChar w:fldCharType="begin"/>
      </w:r>
      <w:r>
        <w:instrText xml:space="preserve"> PAGEREF _Toc202172860 \h </w:instrText>
      </w:r>
      <w:r>
        <w:fldChar w:fldCharType="separate"/>
      </w:r>
      <w:r>
        <w:t>12</w:t>
      </w:r>
      <w:r>
        <w:fldChar w:fldCharType="end"/>
      </w:r>
    </w:p>
    <w:p>
      <w:pPr>
        <w:pStyle w:val="TOC8"/>
        <w:rPr>
          <w:sz w:val="24"/>
          <w:szCs w:val="24"/>
        </w:rPr>
      </w:pPr>
      <w:r>
        <w:rPr>
          <w:szCs w:val="24"/>
        </w:rPr>
        <w:t>11B.</w:t>
      </w:r>
      <w:r>
        <w:rPr>
          <w:szCs w:val="24"/>
        </w:rPr>
        <w:tab/>
        <w:t>Exception to sections 10 to 11A</w:t>
      </w:r>
      <w:r>
        <w:tab/>
      </w:r>
      <w:r>
        <w:fldChar w:fldCharType="begin"/>
      </w:r>
      <w:r>
        <w:instrText xml:space="preserve"> PAGEREF _Toc202172861 \h </w:instrText>
      </w:r>
      <w:r>
        <w:fldChar w:fldCharType="separate"/>
      </w:r>
      <w:r>
        <w:t>13</w:t>
      </w:r>
      <w:r>
        <w:fldChar w:fldCharType="end"/>
      </w:r>
    </w:p>
    <w:p>
      <w:pPr>
        <w:pStyle w:val="TOC8"/>
        <w:rPr>
          <w:sz w:val="24"/>
          <w:szCs w:val="24"/>
        </w:rPr>
      </w:pPr>
      <w:r>
        <w:rPr>
          <w:szCs w:val="24"/>
        </w:rPr>
        <w:t>12.</w:t>
      </w:r>
      <w:r>
        <w:rPr>
          <w:szCs w:val="24"/>
        </w:rPr>
        <w:tab/>
        <w:t>Review of Code</w:t>
      </w:r>
      <w:r>
        <w:tab/>
      </w:r>
      <w:r>
        <w:fldChar w:fldCharType="begin"/>
      </w:r>
      <w:r>
        <w:instrText xml:space="preserve"> PAGEREF _Toc202172862 \h </w:instrText>
      </w:r>
      <w:r>
        <w:fldChar w:fldCharType="separate"/>
      </w:r>
      <w:r>
        <w:t>13</w:t>
      </w:r>
      <w:r>
        <w:fldChar w:fldCharType="end"/>
      </w:r>
    </w:p>
    <w:p>
      <w:pPr>
        <w:pStyle w:val="TOC2"/>
        <w:tabs>
          <w:tab w:val="right" w:leader="dot" w:pos="7086"/>
        </w:tabs>
        <w:rPr>
          <w:b w:val="0"/>
          <w:sz w:val="24"/>
          <w:szCs w:val="24"/>
        </w:rPr>
      </w:pPr>
      <w:r>
        <w:rPr>
          <w:szCs w:val="30"/>
        </w:rPr>
        <w:t>Part 3 — The Regulator</w:t>
      </w:r>
    </w:p>
    <w:p>
      <w:pPr>
        <w:pStyle w:val="TOC8"/>
        <w:rPr>
          <w:sz w:val="24"/>
          <w:szCs w:val="24"/>
        </w:rPr>
      </w:pPr>
      <w:r>
        <w:rPr>
          <w:szCs w:val="24"/>
        </w:rPr>
        <w:t>20.</w:t>
      </w:r>
      <w:r>
        <w:rPr>
          <w:szCs w:val="24"/>
        </w:rPr>
        <w:tab/>
        <w:t>Functions of Regulator</w:t>
      </w:r>
      <w:r>
        <w:tab/>
      </w:r>
      <w:r>
        <w:fldChar w:fldCharType="begin"/>
      </w:r>
      <w:r>
        <w:instrText xml:space="preserve"> PAGEREF _Toc202172864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Powers to obtain information</w:t>
      </w:r>
      <w:r>
        <w:tab/>
      </w:r>
      <w:r>
        <w:fldChar w:fldCharType="begin"/>
      </w:r>
      <w:r>
        <w:instrText xml:space="preserve"> PAGEREF _Toc202172865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Powers in respect of documents etc.</w:t>
      </w:r>
      <w:r>
        <w:tab/>
      </w:r>
      <w:r>
        <w:fldChar w:fldCharType="begin"/>
      </w:r>
      <w:r>
        <w:instrText xml:space="preserve"> PAGEREF _Toc202172866 \h </w:instrText>
      </w:r>
      <w:r>
        <w:fldChar w:fldCharType="separate"/>
      </w:r>
      <w:r>
        <w:t>17</w:t>
      </w:r>
      <w:r>
        <w:fldChar w:fldCharType="end"/>
      </w:r>
    </w:p>
    <w:p>
      <w:pPr>
        <w:pStyle w:val="TOC8"/>
        <w:rPr>
          <w:sz w:val="24"/>
          <w:szCs w:val="24"/>
        </w:rPr>
      </w:pPr>
      <w:r>
        <w:rPr>
          <w:szCs w:val="24"/>
        </w:rPr>
        <w:t>22A.</w:t>
      </w:r>
      <w:r>
        <w:rPr>
          <w:szCs w:val="24"/>
        </w:rPr>
        <w:tab/>
        <w:t>Power of entry</w:t>
      </w:r>
      <w:r>
        <w:tab/>
      </w:r>
      <w:r>
        <w:fldChar w:fldCharType="begin"/>
      </w:r>
      <w:r>
        <w:instrText xml:space="preserve"> PAGEREF _Toc202172867 \h </w:instrText>
      </w:r>
      <w:r>
        <w:fldChar w:fldCharType="separate"/>
      </w:r>
      <w:r>
        <w:t>17</w:t>
      </w:r>
      <w:r>
        <w:fldChar w:fldCharType="end"/>
      </w:r>
    </w:p>
    <w:p>
      <w:pPr>
        <w:pStyle w:val="TOC8"/>
        <w:rPr>
          <w:sz w:val="24"/>
          <w:szCs w:val="24"/>
        </w:rPr>
      </w:pPr>
      <w:r>
        <w:rPr>
          <w:szCs w:val="24"/>
        </w:rPr>
        <w:t>22B.</w:t>
      </w:r>
      <w:r>
        <w:rPr>
          <w:szCs w:val="24"/>
        </w:rPr>
        <w:tab/>
        <w:t>Obstruction and deception</w:t>
      </w:r>
      <w:r>
        <w:tab/>
      </w:r>
      <w:r>
        <w:fldChar w:fldCharType="begin"/>
      </w:r>
      <w:r>
        <w:instrText xml:space="preserve"> PAGEREF _Toc202172868 \h </w:instrText>
      </w:r>
      <w:r>
        <w:fldChar w:fldCharType="separate"/>
      </w:r>
      <w:r>
        <w:t>17</w:t>
      </w:r>
      <w:r>
        <w:fldChar w:fldCharType="end"/>
      </w:r>
    </w:p>
    <w:p>
      <w:pPr>
        <w:pStyle w:val="TOC8"/>
        <w:rPr>
          <w:sz w:val="24"/>
          <w:szCs w:val="24"/>
        </w:rPr>
      </w:pPr>
      <w:r>
        <w:rPr>
          <w:szCs w:val="24"/>
        </w:rPr>
        <w:t>22C.</w:t>
      </w:r>
      <w:r>
        <w:rPr>
          <w:szCs w:val="24"/>
        </w:rPr>
        <w:tab/>
        <w:t>Legal professional privilege</w:t>
      </w:r>
      <w:r>
        <w:tab/>
      </w:r>
      <w:r>
        <w:fldChar w:fldCharType="begin"/>
      </w:r>
      <w:r>
        <w:instrText xml:space="preserve"> PAGEREF _Toc202172869 \h </w:instrText>
      </w:r>
      <w:r>
        <w:fldChar w:fldCharType="separate"/>
      </w:r>
      <w:r>
        <w:t>18</w:t>
      </w:r>
      <w:r>
        <w:fldChar w:fldCharType="end"/>
      </w:r>
    </w:p>
    <w:p>
      <w:pPr>
        <w:pStyle w:val="TOC8"/>
        <w:rPr>
          <w:sz w:val="24"/>
          <w:szCs w:val="24"/>
        </w:rPr>
      </w:pPr>
      <w:r>
        <w:rPr>
          <w:szCs w:val="24"/>
        </w:rPr>
        <w:t>22D.</w:t>
      </w:r>
      <w:r>
        <w:rPr>
          <w:szCs w:val="24"/>
        </w:rPr>
        <w:tab/>
        <w:t>Self</w:t>
      </w:r>
      <w:r>
        <w:rPr>
          <w:szCs w:val="24"/>
        </w:rPr>
        <w:noBreakHyphen/>
        <w:t>incrimination</w:t>
      </w:r>
      <w:r>
        <w:tab/>
      </w:r>
      <w:r>
        <w:fldChar w:fldCharType="begin"/>
      </w:r>
      <w:r>
        <w:instrText xml:space="preserve"> PAGEREF _Toc202172870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Confidentiality</w:t>
      </w:r>
      <w:r>
        <w:tab/>
      </w:r>
      <w:r>
        <w:fldChar w:fldCharType="begin"/>
      </w:r>
      <w:r>
        <w:instrText xml:space="preserve"> PAGEREF _Toc202172871 \h </w:instrText>
      </w:r>
      <w:r>
        <w:fldChar w:fldCharType="separate"/>
      </w:r>
      <w:r>
        <w:t>18</w:t>
      </w:r>
      <w:r>
        <w:fldChar w:fldCharType="end"/>
      </w:r>
    </w:p>
    <w:p>
      <w:pPr>
        <w:pStyle w:val="TOC2"/>
        <w:tabs>
          <w:tab w:val="right" w:leader="dot" w:pos="7086"/>
        </w:tabs>
        <w:rPr>
          <w:b w:val="0"/>
          <w:sz w:val="24"/>
          <w:szCs w:val="24"/>
        </w:rPr>
      </w:pPr>
      <w:r>
        <w:rPr>
          <w:szCs w:val="30"/>
        </w:rPr>
        <w:t>Part 4 — Administrative and accounting arrangements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_Toc202172874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This Part prevails over the </w:t>
      </w:r>
      <w:r>
        <w:rPr>
          <w:i/>
          <w:snapToGrid w:val="0"/>
          <w:szCs w:val="24"/>
        </w:rPr>
        <w:t>Government Railways Act 1904</w:t>
      </w:r>
      <w:r>
        <w:tab/>
      </w:r>
      <w:r>
        <w:fldChar w:fldCharType="begin"/>
      </w:r>
      <w:r>
        <w:instrText xml:space="preserve"> PAGEREF _Toc202172875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arrangements</w:t>
      </w:r>
    </w:p>
    <w:p>
      <w:pPr>
        <w:pStyle w:val="TOC8"/>
        <w:rPr>
          <w:sz w:val="24"/>
          <w:szCs w:val="24"/>
        </w:rPr>
      </w:pPr>
      <w:r>
        <w:rPr>
          <w:szCs w:val="24"/>
        </w:rPr>
        <w:t>26</w:t>
      </w:r>
      <w:r>
        <w:rPr>
          <w:snapToGrid w:val="0"/>
          <w:szCs w:val="24"/>
        </w:rPr>
        <w:t>.</w:t>
      </w:r>
      <w:r>
        <w:rPr>
          <w:snapToGrid w:val="0"/>
          <w:szCs w:val="24"/>
        </w:rPr>
        <w:tab/>
        <w:t>Commission to make administrative arrangements</w:t>
      </w:r>
      <w:r>
        <w:tab/>
      </w:r>
      <w:r>
        <w:fldChar w:fldCharType="begin"/>
      </w:r>
      <w:r>
        <w:instrText xml:space="preserve"> PAGEREF _Toc202172877 \h </w:instrText>
      </w:r>
      <w:r>
        <w:fldChar w:fldCharType="separate"/>
      </w:r>
      <w:r>
        <w:t>20</w:t>
      </w:r>
      <w:r>
        <w:fldChar w:fldCharType="end"/>
      </w:r>
    </w:p>
    <w:p>
      <w:pPr>
        <w:pStyle w:val="TOC8"/>
        <w:rPr>
          <w:sz w:val="24"/>
          <w:szCs w:val="24"/>
        </w:rPr>
      </w:pPr>
      <w:r>
        <w:rPr>
          <w:szCs w:val="24"/>
        </w:rPr>
        <w:t>27.</w:t>
      </w:r>
      <w:r>
        <w:rPr>
          <w:szCs w:val="24"/>
        </w:rPr>
        <w:tab/>
        <w:t>Delegation</w:t>
      </w:r>
      <w:r>
        <w:tab/>
      </w:r>
      <w:r>
        <w:fldChar w:fldCharType="begin"/>
      </w:r>
      <w:r>
        <w:instrText xml:space="preserve"> PAGEREF _Toc202172878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Segregation of access</w:t>
      </w:r>
      <w:r>
        <w:rPr>
          <w:szCs w:val="26"/>
        </w:rPr>
        <w:noBreakHyphen/>
        <w:t>related functions</w:t>
      </w:r>
    </w:p>
    <w:p>
      <w:pPr>
        <w:pStyle w:val="TOC8"/>
        <w:rPr>
          <w:sz w:val="24"/>
          <w:szCs w:val="24"/>
        </w:rPr>
      </w:pPr>
      <w:r>
        <w:rPr>
          <w:szCs w:val="24"/>
        </w:rPr>
        <w:t>28</w:t>
      </w:r>
      <w:r>
        <w:rPr>
          <w:snapToGrid w:val="0"/>
          <w:szCs w:val="24"/>
        </w:rPr>
        <w:t>.</w:t>
      </w:r>
      <w:r>
        <w:rPr>
          <w:snapToGrid w:val="0"/>
          <w:szCs w:val="24"/>
        </w:rPr>
        <w:tab/>
        <w:t>Duty to segregate</w:t>
      </w:r>
      <w:r>
        <w:tab/>
      </w:r>
      <w:r>
        <w:fldChar w:fldCharType="begin"/>
      </w:r>
      <w:r>
        <w:instrText xml:space="preserve"> PAGEREF _Toc202172880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Powers of Regulator in relation to segregation</w:t>
      </w:r>
      <w:r>
        <w:tab/>
      </w:r>
      <w:r>
        <w:fldChar w:fldCharType="begin"/>
      </w:r>
      <w:r>
        <w:instrText xml:space="preserve"> PAGEREF _Toc202172881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Matters to be covered under section 28</w:t>
      </w:r>
      <w:r>
        <w:tab/>
      </w:r>
      <w:r>
        <w:fldChar w:fldCharType="begin"/>
      </w:r>
      <w:r>
        <w:instrText xml:space="preserve"> PAGEREF _Toc202172882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Protection of confidential information</w:t>
      </w:r>
      <w:r>
        <w:tab/>
      </w:r>
      <w:r>
        <w:fldChar w:fldCharType="begin"/>
      </w:r>
      <w:r>
        <w:instrText xml:space="preserve"> PAGEREF _Toc202172883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Avoidance of conflict of interest</w:t>
      </w:r>
      <w:r>
        <w:tab/>
      </w:r>
      <w:r>
        <w:fldChar w:fldCharType="begin"/>
      </w:r>
      <w:r>
        <w:instrText xml:space="preserve"> PAGEREF _Toc202172884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Duty of fairness</w:t>
      </w:r>
      <w:r>
        <w:tab/>
      </w:r>
      <w:r>
        <w:fldChar w:fldCharType="begin"/>
      </w:r>
      <w:r>
        <w:instrText xml:space="preserve"> PAGEREF _Toc202172885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Maintenance of separate accounts and records</w:t>
      </w:r>
      <w:r>
        <w:tab/>
      </w:r>
      <w:r>
        <w:fldChar w:fldCharType="begin"/>
      </w:r>
      <w:r>
        <w:instrText xml:space="preserve"> PAGEREF _Toc202172886 \h </w:instrText>
      </w:r>
      <w:r>
        <w:fldChar w:fldCharType="separate"/>
      </w:r>
      <w:r>
        <w:t>23</w:t>
      </w:r>
      <w:r>
        <w:fldChar w:fldCharType="end"/>
      </w:r>
    </w:p>
    <w:p>
      <w:pPr>
        <w:pStyle w:val="TOC2"/>
        <w:tabs>
          <w:tab w:val="right" w:leader="dot" w:pos="7086"/>
        </w:tabs>
        <w:rPr>
          <w:b w:val="0"/>
          <w:sz w:val="24"/>
          <w:szCs w:val="24"/>
        </w:rPr>
      </w:pPr>
      <w:r>
        <w:rPr>
          <w:szCs w:val="30"/>
        </w:rPr>
        <w:t>Part 5 — Enforcement</w:t>
      </w:r>
    </w:p>
    <w:p>
      <w:pPr>
        <w:pStyle w:val="TOC8"/>
        <w:rPr>
          <w:sz w:val="24"/>
          <w:szCs w:val="24"/>
        </w:rPr>
      </w:pPr>
      <w:r>
        <w:rPr>
          <w:szCs w:val="24"/>
        </w:rPr>
        <w:t>34A</w:t>
      </w:r>
      <w:r>
        <w:rPr>
          <w:snapToGrid w:val="0"/>
          <w:szCs w:val="24"/>
        </w:rPr>
        <w:t>.</w:t>
      </w:r>
      <w:r>
        <w:rPr>
          <w:snapToGrid w:val="0"/>
          <w:szCs w:val="24"/>
        </w:rPr>
        <w:tab/>
      </w:r>
      <w:r>
        <w:rPr>
          <w:szCs w:val="24"/>
        </w:rPr>
        <w:t>Prohibitions on hindering or preventing access</w:t>
      </w:r>
      <w:r>
        <w:tab/>
      </w:r>
      <w:r>
        <w:fldChar w:fldCharType="begin"/>
      </w:r>
      <w:r>
        <w:instrText xml:space="preserve"> PAGEREF _Toc202172888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Contract enforcement not affected</w:t>
      </w:r>
      <w:r>
        <w:tab/>
      </w:r>
      <w:r>
        <w:fldChar w:fldCharType="begin"/>
      </w:r>
      <w:r>
        <w:instrText xml:space="preserve"> PAGEREF _Toc202172889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Remedies</w:t>
      </w:r>
      <w:r>
        <w:tab/>
      </w:r>
      <w:r>
        <w:fldChar w:fldCharType="begin"/>
      </w:r>
      <w:r>
        <w:instrText xml:space="preserve"> PAGEREF _Toc202172890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Injunctions</w:t>
      </w:r>
      <w:r>
        <w:tab/>
      </w:r>
      <w:r>
        <w:fldChar w:fldCharType="begin"/>
      </w:r>
      <w:r>
        <w:instrText xml:space="preserve"> PAGEREF _Toc202172891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_Toc202172893 \h </w:instrText>
      </w:r>
      <w:r>
        <w:fldChar w:fldCharType="separate"/>
      </w:r>
      <w:r>
        <w:t>26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bookmarkStart w:id="4" w:name="_Toc202172746"/>
      <w:bookmarkStart w:id="5" w:name="_Toc2021728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500216370"/>
      <w:bookmarkStart w:id="7" w:name="_Toc506023001"/>
      <w:bookmarkStart w:id="8" w:name="_Toc520179620"/>
      <w:bookmarkStart w:id="9" w:name="_Toc523651177"/>
      <w:bookmarkStart w:id="10" w:name="_Toc526045027"/>
      <w:bookmarkStart w:id="11" w:name="_Toc527791516"/>
      <w:bookmarkStart w:id="12" w:name="_Toc90458827"/>
      <w:bookmarkStart w:id="13" w:name="_Toc125264087"/>
      <w:bookmarkStart w:id="14" w:name="_Toc202172845"/>
      <w:r>
        <w:rPr>
          <w:rStyle w:val="CharSectno"/>
        </w:rPr>
        <w:t>1</w:t>
      </w:r>
      <w:r>
        <w:t>.</w:t>
      </w:r>
      <w:r>
        <w:tab/>
        <w:t>Short title</w:t>
      </w:r>
      <w:bookmarkEnd w:id="6"/>
      <w:bookmarkEnd w:id="7"/>
      <w:bookmarkEnd w:id="8"/>
      <w:bookmarkEnd w:id="9"/>
      <w:bookmarkEnd w:id="10"/>
      <w:bookmarkEnd w:id="11"/>
      <w:bookmarkEnd w:id="12"/>
      <w:bookmarkEnd w:id="13"/>
      <w:bookmarkEnd w:id="14"/>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5" w:name="_Toc500216371"/>
      <w:bookmarkStart w:id="16" w:name="_Toc506023002"/>
      <w:bookmarkStart w:id="17" w:name="_Toc520179621"/>
      <w:bookmarkStart w:id="18" w:name="_Toc523651178"/>
      <w:bookmarkStart w:id="19" w:name="_Toc526045028"/>
      <w:bookmarkStart w:id="20" w:name="_Toc527791517"/>
      <w:bookmarkStart w:id="21" w:name="_Toc90458828"/>
      <w:bookmarkStart w:id="22" w:name="_Toc125264088"/>
      <w:bookmarkStart w:id="23" w:name="_Toc202172846"/>
      <w:r>
        <w:rPr>
          <w:rStyle w:val="CharSectno"/>
        </w:rPr>
        <w:t>2</w:t>
      </w:r>
      <w:r>
        <w:t>.</w:t>
      </w:r>
      <w:r>
        <w:tab/>
        <w:t>Commencement</w:t>
      </w:r>
      <w:bookmarkEnd w:id="15"/>
      <w:bookmarkEnd w:id="16"/>
      <w:bookmarkEnd w:id="17"/>
      <w:bookmarkEnd w:id="18"/>
      <w:bookmarkEnd w:id="19"/>
      <w:bookmarkEnd w:id="20"/>
      <w:bookmarkEnd w:id="21"/>
      <w:bookmarkEnd w:id="22"/>
      <w:bookmarkEnd w:id="23"/>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4" w:name="_Toc500216372"/>
      <w:bookmarkStart w:id="25" w:name="_Toc506023003"/>
      <w:bookmarkStart w:id="26" w:name="_Toc520179622"/>
      <w:bookmarkStart w:id="27" w:name="_Toc523651179"/>
      <w:bookmarkStart w:id="28" w:name="_Toc526045029"/>
      <w:bookmarkStart w:id="29" w:name="_Toc527791518"/>
      <w:bookmarkStart w:id="30" w:name="_Toc90458829"/>
      <w:bookmarkStart w:id="31" w:name="_Toc125264089"/>
      <w:bookmarkStart w:id="32" w:name="_Toc202172847"/>
      <w:r>
        <w:rPr>
          <w:rStyle w:val="CharSectno"/>
        </w:rPr>
        <w:t>2A</w:t>
      </w:r>
      <w:r>
        <w:t>.</w:t>
      </w:r>
      <w:r>
        <w:tab/>
        <w:t>Object of the Act</w:t>
      </w:r>
      <w:bookmarkEnd w:id="24"/>
      <w:bookmarkEnd w:id="25"/>
      <w:bookmarkEnd w:id="26"/>
      <w:bookmarkEnd w:id="27"/>
      <w:bookmarkEnd w:id="28"/>
      <w:bookmarkEnd w:id="29"/>
      <w:bookmarkEnd w:id="30"/>
      <w:bookmarkEnd w:id="31"/>
      <w:bookmarkEnd w:id="32"/>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33" w:name="_Toc500216373"/>
      <w:bookmarkStart w:id="34" w:name="_Toc506023004"/>
      <w:bookmarkStart w:id="35" w:name="_Toc520179623"/>
      <w:bookmarkStart w:id="36" w:name="_Toc523651180"/>
      <w:bookmarkStart w:id="37" w:name="_Toc526045030"/>
      <w:bookmarkStart w:id="38" w:name="_Toc527791519"/>
      <w:bookmarkStart w:id="39" w:name="_Toc90458830"/>
      <w:bookmarkStart w:id="40" w:name="_Toc125264090"/>
      <w:bookmarkStart w:id="41" w:name="_Toc202172848"/>
      <w:r>
        <w:rPr>
          <w:rStyle w:val="CharSectno"/>
        </w:rPr>
        <w:t>3</w:t>
      </w:r>
      <w:r>
        <w:t>.</w:t>
      </w:r>
      <w:r>
        <w:tab/>
        <w:t>Definitions</w:t>
      </w:r>
      <w:bookmarkEnd w:id="33"/>
      <w:bookmarkEnd w:id="34"/>
      <w:bookmarkEnd w:id="35"/>
      <w:bookmarkEnd w:id="36"/>
      <w:bookmarkEnd w:id="37"/>
      <w:bookmarkEnd w:id="38"/>
      <w:bookmarkEnd w:id="39"/>
      <w:bookmarkEnd w:id="40"/>
      <w:bookmarkEnd w:id="41"/>
      <w:r>
        <w:t xml:space="preserve"> </w:t>
      </w:r>
    </w:p>
    <w:p>
      <w:pPr>
        <w:pStyle w:val="Subsection"/>
      </w:pPr>
      <w:r>
        <w:tab/>
        <w:t>(1)</w:t>
      </w:r>
      <w:r>
        <w:tab/>
        <w:t xml:space="preserve">In this Act, unless the contrary intention appears — </w:t>
      </w:r>
    </w:p>
    <w:p>
      <w:pPr>
        <w:pStyle w:val="Defstart"/>
      </w:pPr>
      <w:r>
        <w:tab/>
      </w:r>
      <w:r>
        <w:rPr>
          <w:b/>
        </w:rPr>
        <w:t>“</w:t>
      </w:r>
      <w:r>
        <w:rPr>
          <w:rStyle w:val="CharDefText"/>
        </w:rPr>
        <w:t>access</w:t>
      </w:r>
      <w:r>
        <w:rPr>
          <w:b/>
        </w:rPr>
        <w:t>”</w:t>
      </w:r>
      <w:r>
        <w:t xml:space="preserve"> means the use of railway infrastructure; </w:t>
      </w:r>
    </w:p>
    <w:p>
      <w:pPr>
        <w:pStyle w:val="Defstart"/>
      </w:pPr>
      <w:r>
        <w:tab/>
      </w:r>
      <w:r>
        <w:rPr>
          <w:b/>
        </w:rPr>
        <w:t>“</w:t>
      </w:r>
      <w:r>
        <w:rPr>
          <w:rStyle w:val="CharDefText"/>
        </w:rPr>
        <w:t>access agreement</w:t>
      </w:r>
      <w:r>
        <w:rPr>
          <w:b/>
        </w:rPr>
        <w:t>”</w:t>
      </w:r>
      <w:r>
        <w:t xml:space="preserve"> means an agreement under the Code between a railway owner and another person for access by that person;</w:t>
      </w:r>
    </w:p>
    <w:p>
      <w:pPr>
        <w:pStyle w:val="Defstart"/>
      </w:pPr>
      <w:r>
        <w:tab/>
      </w:r>
      <w:r>
        <w:rPr>
          <w:b/>
        </w:rPr>
        <w:t>“</w:t>
      </w:r>
      <w:r>
        <w:rPr>
          <w:rStyle w:val="CharDefText"/>
        </w:rPr>
        <w:t>Authori</w:t>
      </w:r>
      <w:bookmarkStart w:id="42" w:name="_Hlt26008007"/>
      <w:bookmarkEnd w:id="42"/>
      <w:r>
        <w:rPr>
          <w:rStyle w:val="CharDefText"/>
        </w:rPr>
        <w:t>ty</w:t>
      </w:r>
      <w:r>
        <w:rPr>
          <w:b/>
        </w:rPr>
        <w:t>”</w:t>
      </w:r>
      <w:r>
        <w:t xml:space="preserve"> means the Public Transport Authority of Western Australia established by the </w:t>
      </w:r>
      <w:r>
        <w:rPr>
          <w:i/>
        </w:rPr>
        <w:t>Public Transport Authority Act 2003</w:t>
      </w:r>
      <w:r>
        <w:t xml:space="preserve"> section 5;</w:t>
      </w:r>
    </w:p>
    <w:p>
      <w:pPr>
        <w:pStyle w:val="Defstart"/>
      </w:pPr>
      <w:r>
        <w:tab/>
      </w:r>
      <w:r>
        <w:rPr>
          <w:b/>
        </w:rPr>
        <w:t>“</w:t>
      </w:r>
      <w:r>
        <w:rPr>
          <w:rStyle w:val="CharDefText"/>
        </w:rPr>
        <w:t>Code</w:t>
      </w:r>
      <w:r>
        <w:rPr>
          <w:b/>
        </w:rPr>
        <w:t>”</w:t>
      </w:r>
      <w:r>
        <w:t xml:space="preserve"> means the Code for the time being in force under section 4;</w:t>
      </w:r>
    </w:p>
    <w:p>
      <w:pPr>
        <w:pStyle w:val="Defstart"/>
      </w:pPr>
      <w:r>
        <w:tab/>
      </w:r>
      <w:r>
        <w:rPr>
          <w:b/>
        </w:rPr>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tab/>
      </w:r>
      <w:r>
        <w:rPr>
          <w:b/>
        </w:rPr>
        <w:t>“</w:t>
      </w:r>
      <w:r>
        <w:rPr>
          <w:rStyle w:val="CharDefText"/>
        </w:rPr>
        <w:t>Government railway</w:t>
      </w:r>
      <w:r>
        <w:rPr>
          <w:b/>
        </w:rPr>
        <w:t>”</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b/>
        </w:rPr>
        <w:t>“</w:t>
      </w:r>
      <w:r>
        <w:rPr>
          <w:rStyle w:val="CharDefText"/>
        </w:rPr>
        <w:t>railway infrastructure</w:t>
      </w:r>
      <w:r>
        <w:rPr>
          <w:b/>
        </w:rPr>
        <w:t>”</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b/>
        </w:rPr>
        <w:t>“</w:t>
      </w:r>
      <w:r>
        <w:rPr>
          <w:rStyle w:val="CharDefText"/>
        </w:rPr>
        <w:t>railway owner</w:t>
      </w:r>
      <w:r>
        <w:rPr>
          <w:b/>
        </w:rPr>
        <w:t>”</w:t>
      </w:r>
      <w:r>
        <w:t xml:space="preserve"> means the person having the management and control of the use of the railway infrastructure;</w:t>
      </w:r>
    </w:p>
    <w:p>
      <w:pPr>
        <w:pStyle w:val="Defstart"/>
      </w:pPr>
      <w:r>
        <w:tab/>
      </w:r>
      <w:r>
        <w:rPr>
          <w:b/>
        </w:rPr>
        <w:t>“</w:t>
      </w:r>
      <w:r>
        <w:rPr>
          <w:rStyle w:val="CharDefText"/>
        </w:rPr>
        <w:t>railways network</w:t>
      </w:r>
      <w:r>
        <w:rPr>
          <w:b/>
        </w:rPr>
        <w:t>”</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pPr>
      <w:r>
        <w:tab/>
      </w:r>
      <w:r>
        <w:rPr>
          <w:b/>
        </w:rPr>
        <w:t>“</w:t>
      </w:r>
      <w:r>
        <w:rPr>
          <w:rStyle w:val="CharDefText"/>
        </w:rPr>
        <w:t>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b/>
        </w:rPr>
        <w:t>“</w:t>
      </w:r>
      <w:r>
        <w:rPr>
          <w:rStyle w:val="CharDefText"/>
        </w:rPr>
        <w:t>new railway</w:t>
      </w:r>
      <w:r>
        <w:rPr>
          <w:b/>
        </w:rPr>
        <w:t>”</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 No. 77 of 2004 s. 8.]</w:t>
      </w:r>
    </w:p>
    <w:p>
      <w:pPr>
        <w:pStyle w:val="Heading5"/>
      </w:pPr>
      <w:bookmarkStart w:id="43" w:name="_Toc500216374"/>
      <w:bookmarkStart w:id="44" w:name="_Toc506023005"/>
      <w:bookmarkStart w:id="45" w:name="_Toc520179624"/>
      <w:bookmarkStart w:id="46" w:name="_Toc523651181"/>
      <w:bookmarkStart w:id="47" w:name="_Toc526045031"/>
      <w:bookmarkStart w:id="48" w:name="_Toc527791520"/>
      <w:bookmarkStart w:id="49" w:name="_Toc90458831"/>
      <w:bookmarkStart w:id="50" w:name="_Toc125264091"/>
      <w:bookmarkStart w:id="51" w:name="_Toc202172849"/>
      <w:r>
        <w:rPr>
          <w:rStyle w:val="CharSectno"/>
        </w:rPr>
        <w:t>3A</w:t>
      </w:r>
      <w:r>
        <w:t>.</w:t>
      </w:r>
      <w:r>
        <w:tab/>
        <w:t>Scope of access rights clarified</w:t>
      </w:r>
      <w:bookmarkEnd w:id="43"/>
      <w:bookmarkEnd w:id="44"/>
      <w:bookmarkEnd w:id="45"/>
      <w:bookmarkEnd w:id="46"/>
      <w:bookmarkEnd w:id="47"/>
      <w:bookmarkEnd w:id="48"/>
      <w:bookmarkEnd w:id="49"/>
      <w:bookmarkEnd w:id="50"/>
      <w:bookmarkEnd w:id="51"/>
    </w:p>
    <w:p>
      <w:pPr>
        <w:pStyle w:val="Subsection"/>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pPr>
      <w:r>
        <w:tab/>
      </w:r>
      <w:r>
        <w:tab/>
        <w:t>for the purpose of exercising those rights.</w:t>
      </w:r>
    </w:p>
    <w:p>
      <w:pPr>
        <w:pStyle w:val="Subsection"/>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pPr>
      <w:bookmarkStart w:id="52" w:name="_Toc500216375"/>
      <w:bookmarkStart w:id="53" w:name="_Toc506023006"/>
      <w:bookmarkStart w:id="54" w:name="_Toc520179625"/>
      <w:bookmarkStart w:id="55" w:name="_Toc523651182"/>
      <w:bookmarkStart w:id="56" w:name="_Toc526045032"/>
      <w:bookmarkStart w:id="57" w:name="_Toc527791521"/>
      <w:bookmarkStart w:id="58" w:name="_Toc90458832"/>
      <w:bookmarkStart w:id="59" w:name="_Toc125264092"/>
      <w:bookmarkStart w:id="60" w:name="_Toc202172850"/>
      <w:r>
        <w:rPr>
          <w:rStyle w:val="CharSectno"/>
        </w:rPr>
        <w:t>3B</w:t>
      </w:r>
      <w:r>
        <w:t>.</w:t>
      </w:r>
      <w:r>
        <w:tab/>
        <w:t>Access rights may bind person through whom title derives in certain cases</w:t>
      </w:r>
      <w:bookmarkEnd w:id="52"/>
      <w:bookmarkEnd w:id="53"/>
      <w:bookmarkEnd w:id="54"/>
      <w:bookmarkEnd w:id="55"/>
      <w:bookmarkEnd w:id="56"/>
      <w:bookmarkEnd w:id="57"/>
      <w:bookmarkEnd w:id="58"/>
      <w:bookmarkEnd w:id="59"/>
      <w:bookmarkEnd w:id="60"/>
    </w:p>
    <w:p>
      <w:pPr>
        <w:pStyle w:val="Subsection"/>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pPr>
      <w:r>
        <w:tab/>
        <w:t>(2)</w:t>
      </w:r>
      <w:r>
        <w:tab/>
        <w:t xml:space="preserve">Upon the premature termination of the railway owner’s right to manage and control the use of railway infrastructure (whether for default or any other reason) — </w:t>
      </w:r>
    </w:p>
    <w:p>
      <w:pPr>
        <w:pStyle w:val="Indenta"/>
      </w:pPr>
      <w:r>
        <w:tab/>
        <w:t>(a)</w:t>
      </w:r>
      <w:r>
        <w:tab/>
        <w:t>any right of access given by the railway owner continues as if it had been given by the person for the time being having the right to manage and control the use of the railway infrastructure (</w:t>
      </w:r>
      <w:r>
        <w:rPr>
          <w:b/>
        </w:rPr>
        <w:t>“</w:t>
      </w:r>
      <w:r>
        <w:rPr>
          <w:rStyle w:val="CharDefText"/>
        </w:rPr>
        <w:t>the current railway owner</w:t>
      </w:r>
      <w:r>
        <w:rPr>
          <w:b/>
        </w:rPr>
        <w:t>”</w:t>
      </w:r>
      <w:r>
        <w:t>); and</w:t>
      </w:r>
    </w:p>
    <w:p>
      <w:pPr>
        <w:pStyle w:val="Indenta"/>
      </w:pPr>
      <w:r>
        <w:tab/>
        <w:t>(b)</w:t>
      </w:r>
      <w:r>
        <w:tab/>
        <w:t>an agreement under which the right of access arises has effect, with any necessary modifications, as if the current railway owner were the person who had entered into the agreement as the railway owner,</w:t>
      </w:r>
    </w:p>
    <w:p>
      <w:pPr>
        <w:pStyle w:val="Subsection"/>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61" w:name="_Toc90458772"/>
      <w:bookmarkStart w:id="62" w:name="_Toc90458833"/>
      <w:bookmarkStart w:id="63" w:name="_Toc125264093"/>
      <w:bookmarkStart w:id="64" w:name="_Toc202172753"/>
      <w:bookmarkStart w:id="65" w:name="_Toc202172851"/>
      <w:r>
        <w:rPr>
          <w:rStyle w:val="CharPartNo"/>
        </w:rPr>
        <w:t>Part 2</w:t>
      </w:r>
      <w:r>
        <w:t> — </w:t>
      </w:r>
      <w:r>
        <w:rPr>
          <w:rStyle w:val="CharPartText"/>
        </w:rPr>
        <w:t>Establishment of Code</w:t>
      </w:r>
      <w:bookmarkEnd w:id="61"/>
      <w:bookmarkEnd w:id="62"/>
      <w:bookmarkEnd w:id="63"/>
      <w:bookmarkEnd w:id="64"/>
      <w:bookmarkEnd w:id="65"/>
      <w:r>
        <w:rPr>
          <w:rStyle w:val="CharPartText"/>
        </w:rPr>
        <w:t xml:space="preserve"> </w:t>
      </w:r>
    </w:p>
    <w:p>
      <w:pPr>
        <w:pStyle w:val="Heading5"/>
      </w:pPr>
      <w:bookmarkStart w:id="66" w:name="_Toc500216376"/>
      <w:bookmarkStart w:id="67" w:name="_Toc506023007"/>
      <w:bookmarkStart w:id="68" w:name="_Toc520179626"/>
      <w:bookmarkStart w:id="69" w:name="_Toc523651183"/>
      <w:bookmarkStart w:id="70" w:name="_Toc526045033"/>
      <w:bookmarkStart w:id="71" w:name="_Toc527791522"/>
      <w:bookmarkStart w:id="72" w:name="_Toc90458834"/>
      <w:bookmarkStart w:id="73" w:name="_Toc125264094"/>
      <w:bookmarkStart w:id="74" w:name="_Toc202172852"/>
      <w:r>
        <w:rPr>
          <w:rStyle w:val="CharSectno"/>
        </w:rPr>
        <w:t>4</w:t>
      </w:r>
      <w:r>
        <w:t>.</w:t>
      </w:r>
      <w:r>
        <w:tab/>
        <w:t>Minister to establish Code</w:t>
      </w:r>
      <w:bookmarkEnd w:id="66"/>
      <w:bookmarkEnd w:id="67"/>
      <w:bookmarkEnd w:id="68"/>
      <w:bookmarkEnd w:id="69"/>
      <w:bookmarkEnd w:id="70"/>
      <w:bookmarkEnd w:id="71"/>
      <w:bookmarkEnd w:id="72"/>
      <w:bookmarkEnd w:id="73"/>
      <w:bookmarkEnd w:id="74"/>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75" w:name="_Toc500216377"/>
      <w:bookmarkStart w:id="76" w:name="_Toc506023008"/>
      <w:bookmarkStart w:id="77" w:name="_Toc520179627"/>
      <w:bookmarkStart w:id="78" w:name="_Toc523651184"/>
      <w:bookmarkStart w:id="79" w:name="_Toc526045034"/>
      <w:bookmarkStart w:id="80" w:name="_Toc527791523"/>
      <w:bookmarkStart w:id="81" w:name="_Toc90458835"/>
      <w:bookmarkStart w:id="82" w:name="_Toc125264095"/>
      <w:bookmarkStart w:id="83" w:name="_Toc202172853"/>
      <w:r>
        <w:rPr>
          <w:rStyle w:val="CharSectno"/>
        </w:rPr>
        <w:t>5</w:t>
      </w:r>
      <w:r>
        <w:t>.</w:t>
      </w:r>
      <w:r>
        <w:tab/>
        <w:t>Criteria to be considered in applying Code to particular routes</w:t>
      </w:r>
      <w:bookmarkEnd w:id="75"/>
      <w:bookmarkEnd w:id="76"/>
      <w:bookmarkEnd w:id="77"/>
      <w:bookmarkEnd w:id="78"/>
      <w:bookmarkEnd w:id="79"/>
      <w:bookmarkEnd w:id="80"/>
      <w:bookmarkEnd w:id="81"/>
      <w:bookmarkEnd w:id="82"/>
      <w:bookmarkEnd w:id="83"/>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pPr>
      <w:r>
        <w:tab/>
        <w:t>(4)</w:t>
      </w:r>
      <w:r>
        <w:tab/>
        <w:t>A decision of the Minister of the kind referred to in subsection (1) is not liable to be challenged in, or reviewed or called in question by, a court.</w:t>
      </w:r>
    </w:p>
    <w:p>
      <w:pPr>
        <w:pStyle w:val="Subsection"/>
      </w:pPr>
      <w:r>
        <w:tab/>
        <w:t>(5)</w:t>
      </w:r>
      <w:r>
        <w:tab/>
        <w:t xml:space="preserve">In this section — </w:t>
      </w:r>
    </w:p>
    <w:p>
      <w:pPr>
        <w:pStyle w:val="Defstart"/>
      </w:pPr>
      <w:r>
        <w:tab/>
      </w:r>
      <w:r>
        <w:rPr>
          <w:b/>
        </w:rPr>
        <w:t>“</w:t>
      </w:r>
      <w:r>
        <w:rPr>
          <w:rStyle w:val="CharDefText"/>
        </w:rPr>
        <w:t>route</w:t>
      </w:r>
      <w:r>
        <w:rPr>
          <w:b/>
        </w:rPr>
        <w:t>”</w:t>
      </w:r>
      <w:r>
        <w:t xml:space="preserve"> means — </w:t>
      </w:r>
    </w:p>
    <w:p>
      <w:pPr>
        <w:pStyle w:val="Defpara"/>
      </w:pPr>
      <w:r>
        <w:tab/>
        <w:t>(a)</w:t>
      </w:r>
      <w:r>
        <w:tab/>
        <w:t>a particular part of the railways network; and</w:t>
      </w:r>
    </w:p>
    <w:p>
      <w:pPr>
        <w:pStyle w:val="Defpara"/>
      </w:pPr>
      <w:r>
        <w:tab/>
        <w:t>(b)</w:t>
      </w:r>
      <w:r>
        <w:tab/>
        <w:t>the associated railway infrastructure.</w:t>
      </w:r>
    </w:p>
    <w:p>
      <w:pPr>
        <w:pStyle w:val="Heading5"/>
      </w:pPr>
      <w:bookmarkStart w:id="84" w:name="_Toc500216378"/>
      <w:bookmarkStart w:id="85" w:name="_Toc506023009"/>
      <w:bookmarkStart w:id="86" w:name="_Toc520179628"/>
      <w:bookmarkStart w:id="87" w:name="_Toc523651185"/>
      <w:bookmarkStart w:id="88" w:name="_Toc526045035"/>
      <w:bookmarkStart w:id="89" w:name="_Toc527791524"/>
      <w:bookmarkStart w:id="90" w:name="_Toc90458836"/>
      <w:bookmarkStart w:id="91" w:name="_Toc125264096"/>
      <w:bookmarkStart w:id="92" w:name="_Toc202172854"/>
      <w:r>
        <w:rPr>
          <w:rStyle w:val="CharSectno"/>
        </w:rPr>
        <w:t>6</w:t>
      </w:r>
      <w:r>
        <w:t>.</w:t>
      </w:r>
      <w:r>
        <w:tab/>
        <w:t>Other matters for which Code may make provision</w:t>
      </w:r>
      <w:bookmarkEnd w:id="84"/>
      <w:bookmarkEnd w:id="85"/>
      <w:bookmarkEnd w:id="86"/>
      <w:bookmarkEnd w:id="87"/>
      <w:bookmarkEnd w:id="88"/>
      <w:bookmarkEnd w:id="89"/>
      <w:bookmarkEnd w:id="90"/>
      <w:bookmarkEnd w:id="91"/>
      <w:bookmarkEnd w:id="92"/>
      <w:r>
        <w:t xml:space="preserve"> </w:t>
      </w:r>
    </w:p>
    <w:p>
      <w:pPr>
        <w:pStyle w:val="Subsection"/>
      </w:pPr>
      <w:r>
        <w:tab/>
        <w:t>(1)</w:t>
      </w:r>
      <w:r>
        <w:tab/>
        <w:t xml:space="preserve">The Code may also make provision for or in relation to — </w:t>
      </w:r>
    </w:p>
    <w:p>
      <w:pPr>
        <w:pStyle w:val="Indenta"/>
      </w:pPr>
      <w:r>
        <w:tab/>
        <w:t>(a)</w:t>
      </w:r>
      <w:r>
        <w:tab/>
        <w:t xml:space="preserve">the registration of access agreements; </w:t>
      </w:r>
    </w:p>
    <w:p>
      <w:pPr>
        <w:pStyle w:val="Indenta"/>
      </w:pPr>
      <w:r>
        <w:tab/>
        <w:t>(b)</w:t>
      </w:r>
      <w:r>
        <w:tab/>
        <w:t xml:space="preserve">the arbitration of disputes between a railway owner and a person who has made a proposal for access under the Code; </w:t>
      </w:r>
    </w:p>
    <w:p>
      <w:pPr>
        <w:pStyle w:val="Indenta"/>
      </w:pPr>
      <w:r>
        <w:tab/>
        <w:t>(c)</w:t>
      </w:r>
      <w:r>
        <w:tab/>
        <w:t xml:space="preserve">the establishment of panels of arbitrators, and the appointment of arbitrators, by the Regulator; </w:t>
      </w:r>
    </w:p>
    <w:p>
      <w:pPr>
        <w:pStyle w:val="Indenta"/>
      </w:pPr>
      <w:r>
        <w:tab/>
        <w:t>(ca)</w:t>
      </w:r>
      <w:r>
        <w:tab/>
        <w:t>the functions of the Regulator;</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pPr>
      <w:bookmarkStart w:id="93" w:name="_Toc500216379"/>
      <w:bookmarkStart w:id="94" w:name="_Toc506023010"/>
      <w:bookmarkStart w:id="95" w:name="_Toc520179629"/>
      <w:bookmarkStart w:id="96" w:name="_Toc523651186"/>
      <w:bookmarkStart w:id="97" w:name="_Toc526045036"/>
      <w:bookmarkStart w:id="98" w:name="_Toc527791525"/>
      <w:bookmarkStart w:id="99" w:name="_Toc90458837"/>
      <w:bookmarkStart w:id="100" w:name="_Toc125264097"/>
      <w:bookmarkStart w:id="101" w:name="_Toc202172855"/>
      <w:r>
        <w:rPr>
          <w:rStyle w:val="CharSectno"/>
        </w:rPr>
        <w:t>7</w:t>
      </w:r>
      <w:r>
        <w:t>.</w:t>
      </w:r>
      <w:r>
        <w:tab/>
        <w:t>Code does not affect existing agreements</w:t>
      </w:r>
      <w:bookmarkEnd w:id="93"/>
      <w:bookmarkEnd w:id="94"/>
      <w:bookmarkEnd w:id="95"/>
      <w:bookmarkEnd w:id="96"/>
      <w:bookmarkEnd w:id="97"/>
      <w:bookmarkEnd w:id="98"/>
      <w:bookmarkEnd w:id="99"/>
      <w:bookmarkEnd w:id="100"/>
      <w:bookmarkEnd w:id="101"/>
      <w:r>
        <w:t xml:space="preserve"> </w:t>
      </w:r>
    </w:p>
    <w:p>
      <w:pPr>
        <w:pStyle w:val="Subsection"/>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02" w:name="_Toc500216380"/>
      <w:bookmarkStart w:id="103" w:name="_Toc506023011"/>
      <w:bookmarkStart w:id="104" w:name="_Toc520179630"/>
      <w:bookmarkStart w:id="105" w:name="_Toc523651187"/>
      <w:bookmarkStart w:id="106" w:name="_Toc526045037"/>
      <w:bookmarkStart w:id="107" w:name="_Toc527791526"/>
      <w:bookmarkStart w:id="108" w:name="_Toc90458838"/>
      <w:bookmarkStart w:id="109" w:name="_Toc125264098"/>
      <w:bookmarkStart w:id="110" w:name="_Toc202172856"/>
      <w:r>
        <w:rPr>
          <w:rStyle w:val="CharSectno"/>
        </w:rPr>
        <w:t>8</w:t>
      </w:r>
      <w:r>
        <w:t>.</w:t>
      </w:r>
      <w:r>
        <w:tab/>
        <w:t xml:space="preserve">Code is subject to </w:t>
      </w:r>
      <w:r>
        <w:rPr>
          <w:i/>
        </w:rPr>
        <w:t>Rail Safety Act 1998</w:t>
      </w:r>
      <w:bookmarkEnd w:id="102"/>
      <w:bookmarkEnd w:id="103"/>
      <w:bookmarkEnd w:id="104"/>
      <w:bookmarkEnd w:id="105"/>
      <w:bookmarkEnd w:id="106"/>
      <w:bookmarkEnd w:id="107"/>
      <w:bookmarkEnd w:id="108"/>
      <w:bookmarkEnd w:id="109"/>
      <w:bookmarkEnd w:id="110"/>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11" w:name="_Toc500216381"/>
      <w:bookmarkStart w:id="112" w:name="_Toc506023012"/>
      <w:bookmarkStart w:id="113" w:name="_Toc520179631"/>
      <w:bookmarkStart w:id="114" w:name="_Toc523651188"/>
      <w:bookmarkStart w:id="115" w:name="_Toc526045038"/>
      <w:bookmarkStart w:id="116" w:name="_Toc527791527"/>
      <w:bookmarkStart w:id="117" w:name="_Toc90458839"/>
      <w:bookmarkStart w:id="118" w:name="_Toc125264099"/>
      <w:bookmarkStart w:id="119" w:name="_Toc202172857"/>
      <w:r>
        <w:rPr>
          <w:rStyle w:val="CharSectno"/>
        </w:rPr>
        <w:t>9</w:t>
      </w:r>
      <w:r>
        <w:t>.</w:t>
      </w:r>
      <w:r>
        <w:tab/>
        <w:t>Code is subsidiary legislation</w:t>
      </w:r>
      <w:bookmarkEnd w:id="111"/>
      <w:bookmarkEnd w:id="112"/>
      <w:bookmarkEnd w:id="113"/>
      <w:bookmarkEnd w:id="114"/>
      <w:bookmarkEnd w:id="115"/>
      <w:bookmarkEnd w:id="116"/>
      <w:bookmarkEnd w:id="117"/>
      <w:bookmarkEnd w:id="118"/>
      <w:bookmarkEnd w:id="119"/>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b/>
        </w:rPr>
        <w:t>“</w:t>
      </w:r>
      <w:r>
        <w:rPr>
          <w:rStyle w:val="CharDefText"/>
        </w:rPr>
        <w:t>the 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20" w:name="_Toc500216382"/>
      <w:bookmarkStart w:id="121" w:name="_Toc506023013"/>
      <w:bookmarkStart w:id="122" w:name="_Toc520179632"/>
      <w:bookmarkStart w:id="123" w:name="_Toc523651189"/>
      <w:bookmarkStart w:id="124" w:name="_Toc526045039"/>
      <w:bookmarkStart w:id="125" w:name="_Toc527791528"/>
      <w:bookmarkStart w:id="126" w:name="_Toc90458840"/>
      <w:bookmarkStart w:id="127" w:name="_Toc125264100"/>
      <w:bookmarkStart w:id="128" w:name="_Toc202172858"/>
      <w:r>
        <w:rPr>
          <w:rStyle w:val="CharSectno"/>
        </w:rPr>
        <w:t>10</w:t>
      </w:r>
      <w:r>
        <w:t>.</w:t>
      </w:r>
      <w:r>
        <w:tab/>
        <w:t>Public comment on amendment or replacement of Code</w:t>
      </w:r>
      <w:bookmarkEnd w:id="120"/>
      <w:bookmarkEnd w:id="121"/>
      <w:bookmarkEnd w:id="122"/>
      <w:bookmarkEnd w:id="123"/>
      <w:bookmarkEnd w:id="124"/>
      <w:bookmarkEnd w:id="125"/>
      <w:bookmarkEnd w:id="126"/>
      <w:bookmarkEnd w:id="127"/>
      <w:bookmarkEnd w:id="12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29" w:name="_Toc500216383"/>
      <w:bookmarkStart w:id="130" w:name="_Toc506023014"/>
      <w:bookmarkStart w:id="131" w:name="_Toc520179633"/>
      <w:bookmarkStart w:id="132" w:name="_Toc523651190"/>
      <w:bookmarkStart w:id="133" w:name="_Toc526045040"/>
      <w:bookmarkStart w:id="134" w:name="_Toc527791529"/>
      <w:bookmarkStart w:id="135" w:name="_Toc90458841"/>
      <w:bookmarkStart w:id="136" w:name="_Toc125264101"/>
      <w:bookmarkStart w:id="137" w:name="_Toc202172859"/>
      <w:r>
        <w:rPr>
          <w:rStyle w:val="CharSectno"/>
        </w:rPr>
        <w:t>11</w:t>
      </w:r>
      <w:r>
        <w:t>.</w:t>
      </w:r>
      <w:r>
        <w:tab/>
        <w:t>Exception to section 10</w:t>
      </w:r>
      <w:bookmarkEnd w:id="129"/>
      <w:bookmarkEnd w:id="130"/>
      <w:bookmarkEnd w:id="131"/>
      <w:bookmarkEnd w:id="132"/>
      <w:bookmarkEnd w:id="133"/>
      <w:bookmarkEnd w:id="134"/>
      <w:bookmarkEnd w:id="135"/>
      <w:bookmarkEnd w:id="136"/>
      <w:bookmarkEnd w:id="137"/>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38" w:name="_Toc500216384"/>
      <w:bookmarkStart w:id="139" w:name="_Toc506023015"/>
      <w:bookmarkStart w:id="140" w:name="_Toc520179634"/>
      <w:bookmarkStart w:id="141" w:name="_Toc523651191"/>
      <w:bookmarkStart w:id="142" w:name="_Toc526045041"/>
      <w:bookmarkStart w:id="143" w:name="_Toc527791530"/>
      <w:bookmarkStart w:id="144" w:name="_Toc90458842"/>
      <w:bookmarkStart w:id="145" w:name="_Toc125264102"/>
      <w:bookmarkStart w:id="146" w:name="_Toc202172860"/>
      <w:r>
        <w:rPr>
          <w:rStyle w:val="CharSectno"/>
        </w:rPr>
        <w:t>11A.</w:t>
      </w:r>
      <w:r>
        <w:rPr>
          <w:rStyle w:val="CharSectno"/>
        </w:rPr>
        <w:tab/>
      </w:r>
      <w:r>
        <w:t>Consultation with railway owners on amendment or replacement of Code</w:t>
      </w:r>
      <w:bookmarkEnd w:id="138"/>
      <w:bookmarkEnd w:id="139"/>
      <w:bookmarkEnd w:id="140"/>
      <w:bookmarkEnd w:id="141"/>
      <w:bookmarkEnd w:id="142"/>
      <w:bookmarkEnd w:id="143"/>
      <w:bookmarkEnd w:id="144"/>
      <w:bookmarkEnd w:id="145"/>
      <w:bookmarkEnd w:id="146"/>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47" w:name="_Toc202172861"/>
      <w:bookmarkStart w:id="148" w:name="_Toc500216385"/>
      <w:bookmarkStart w:id="149" w:name="_Toc506023016"/>
      <w:bookmarkStart w:id="150" w:name="_Toc520179635"/>
      <w:bookmarkStart w:id="151" w:name="_Toc523651192"/>
      <w:bookmarkStart w:id="152" w:name="_Toc526045042"/>
      <w:bookmarkStart w:id="153" w:name="_Toc527791531"/>
      <w:bookmarkStart w:id="154" w:name="_Toc90458843"/>
      <w:bookmarkStart w:id="155" w:name="_Toc125264103"/>
      <w:r>
        <w:rPr>
          <w:rStyle w:val="CharSectno"/>
        </w:rPr>
        <w:t>11B</w:t>
      </w:r>
      <w:r>
        <w:t>.</w:t>
      </w:r>
      <w:r>
        <w:tab/>
        <w:t>Exception to sections 10 to 11A</w:t>
      </w:r>
      <w:bookmarkEnd w:id="147"/>
    </w:p>
    <w:p>
      <w:pPr>
        <w:pStyle w:val="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Footnotesection"/>
      </w:pPr>
      <w:r>
        <w:tab/>
        <w:t>[Section 11B inserted by No. 77 of 2004 s. 9.]</w:t>
      </w:r>
    </w:p>
    <w:p>
      <w:pPr>
        <w:pStyle w:val="Heading5"/>
      </w:pPr>
      <w:bookmarkStart w:id="156" w:name="_Toc202172862"/>
      <w:r>
        <w:rPr>
          <w:rStyle w:val="CharSectno"/>
        </w:rPr>
        <w:t>12</w:t>
      </w:r>
      <w:r>
        <w:t>.</w:t>
      </w:r>
      <w:r>
        <w:tab/>
        <w:t>Review of Code</w:t>
      </w:r>
      <w:bookmarkEnd w:id="148"/>
      <w:bookmarkEnd w:id="149"/>
      <w:bookmarkEnd w:id="150"/>
      <w:bookmarkEnd w:id="151"/>
      <w:bookmarkEnd w:id="152"/>
      <w:bookmarkEnd w:id="153"/>
      <w:bookmarkEnd w:id="154"/>
      <w:bookmarkEnd w:id="155"/>
      <w:bookmarkEnd w:id="156"/>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(3)(a)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57" w:name="_Toc90458783"/>
      <w:bookmarkStart w:id="158" w:name="_Toc90458844"/>
      <w:bookmarkStart w:id="159" w:name="_Toc125264104"/>
      <w:bookmarkStart w:id="160" w:name="_Toc202172765"/>
      <w:bookmarkStart w:id="161" w:name="_Toc202172863"/>
      <w:r>
        <w:rPr>
          <w:rStyle w:val="CharPartNo"/>
        </w:rPr>
        <w:t>Part 3</w:t>
      </w:r>
      <w:r>
        <w:t xml:space="preserve"> — </w:t>
      </w:r>
      <w:r>
        <w:rPr>
          <w:rStyle w:val="CharPartText"/>
        </w:rPr>
        <w:t>The Regulator</w:t>
      </w:r>
      <w:bookmarkEnd w:id="157"/>
      <w:bookmarkEnd w:id="158"/>
      <w:bookmarkEnd w:id="159"/>
      <w:bookmarkEnd w:id="160"/>
      <w:bookmarkEnd w:id="161"/>
    </w:p>
    <w:p>
      <w:pPr>
        <w:pStyle w:val="Ednotedivision"/>
      </w:pPr>
      <w:r>
        <w:t>[Division 1 (s. 13-19B) repealed by No. 67 of 2003 s. 62.]</w:t>
      </w:r>
    </w:p>
    <w:p>
      <w:pPr>
        <w:pStyle w:val="Ednotedivision"/>
      </w:pPr>
      <w:bookmarkStart w:id="162" w:name="_Toc523651202"/>
      <w:bookmarkStart w:id="163" w:name="_Toc526045052"/>
      <w:bookmarkStart w:id="164" w:name="_Toc527791541"/>
      <w:r>
        <w:t>[Division 2 heading repealed by No. 67 of 2003 s. 62.]</w:t>
      </w:r>
    </w:p>
    <w:p>
      <w:pPr>
        <w:pStyle w:val="Heading5"/>
      </w:pPr>
      <w:bookmarkStart w:id="165" w:name="_Toc90458845"/>
      <w:bookmarkStart w:id="166" w:name="_Toc125264105"/>
      <w:bookmarkStart w:id="167" w:name="_Toc202172864"/>
      <w:r>
        <w:rPr>
          <w:rStyle w:val="CharSectno"/>
        </w:rPr>
        <w:t>20</w:t>
      </w:r>
      <w:r>
        <w:t>.</w:t>
      </w:r>
      <w:r>
        <w:tab/>
        <w:t>Functions of Regulator</w:t>
      </w:r>
      <w:bookmarkEnd w:id="162"/>
      <w:bookmarkEnd w:id="163"/>
      <w:bookmarkEnd w:id="164"/>
      <w:bookmarkEnd w:id="165"/>
      <w:bookmarkEnd w:id="166"/>
      <w:bookmarkEnd w:id="167"/>
    </w:p>
    <w:p>
      <w:pPr>
        <w:pStyle w:val="Subsection"/>
      </w:pPr>
      <w:r>
        <w:tab/>
        <w:t>(1)</w:t>
      </w:r>
      <w:r>
        <w:tab/>
        <w:t xml:space="preserve">The Regulator — </w:t>
      </w:r>
    </w:p>
    <w:p>
      <w:pPr>
        <w:pStyle w:val="Indenta"/>
      </w:pPr>
      <w:r>
        <w:tab/>
        <w:t>(a)</w:t>
      </w:r>
      <w:r>
        <w:tab/>
        <w:t>is responsible for monitoring and enforcing compliance by railway owners with this Act and the Code; and</w:t>
      </w:r>
    </w:p>
    <w:p>
      <w:pPr>
        <w:pStyle w:val="Indenta"/>
      </w:pPr>
      <w:r>
        <w:tab/>
        <w:t>(b)</w:t>
      </w:r>
      <w:r>
        <w:tab/>
        <w:t>also has the functions given by particular provisions of this Act and the Code.</w:t>
      </w:r>
    </w:p>
    <w:p>
      <w:pPr>
        <w:pStyle w:val="Subsection"/>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pPr>
      <w:r>
        <w:rPr>
          <w:snapToGrid w:val="0"/>
        </w:rPr>
        <w:tab/>
        <w:t>(4)</w:t>
      </w:r>
      <w:r>
        <w:rPr>
          <w:snapToGrid w:val="0"/>
        </w:rPr>
        <w:tab/>
        <w:t>In performing functions under this Act or the Code, the Regulator</w:t>
      </w:r>
      <w:r>
        <w:t xml:space="preserve"> is to take into account — </w:t>
      </w:r>
    </w:p>
    <w:p>
      <w:pPr>
        <w:pStyle w:val="Indenta"/>
      </w:pPr>
      <w:r>
        <w:tab/>
        <w:t>(a)</w:t>
      </w:r>
      <w:r>
        <w:tab/>
        <w:t>the railway owner’s legitimate business interests and investment in railway infrastructure;</w:t>
      </w:r>
    </w:p>
    <w:p>
      <w:pPr>
        <w:pStyle w:val="Indenta"/>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pPr>
      <w:r>
        <w:tab/>
        <w:t>(c)</w:t>
      </w:r>
      <w:r>
        <w:tab/>
        <w:t>the economic value to the railway owner of any additional investment that a person seeking access or the railway owner has agreed to undertake;</w:t>
      </w:r>
    </w:p>
    <w:p>
      <w:pPr>
        <w:pStyle w:val="Indenta"/>
      </w:pPr>
      <w:r>
        <w:tab/>
        <w:t>(d)</w:t>
      </w:r>
      <w:r>
        <w:tab/>
        <w:t>the interests of all persons holding contracts for the use of the railway infrastructure;</w:t>
      </w:r>
    </w:p>
    <w:p>
      <w:pPr>
        <w:pStyle w:val="Indenta"/>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68" w:name="_Toc523651206"/>
      <w:bookmarkStart w:id="169" w:name="_Toc526045056"/>
      <w:bookmarkStart w:id="170" w:name="_Toc527791545"/>
      <w:r>
        <w:t>[</w:t>
      </w:r>
      <w:r>
        <w:rPr>
          <w:b/>
        </w:rPr>
        <w:t>20A-20C.</w:t>
      </w:r>
      <w:r>
        <w:tab/>
        <w:t>Repealed by No. 67 of 2003 s. 62.]</w:t>
      </w:r>
    </w:p>
    <w:p>
      <w:pPr>
        <w:pStyle w:val="Heading5"/>
        <w:rPr>
          <w:snapToGrid w:val="0"/>
        </w:rPr>
      </w:pPr>
      <w:bookmarkStart w:id="171" w:name="_Toc90458846"/>
      <w:bookmarkStart w:id="172" w:name="_Toc125264106"/>
      <w:bookmarkStart w:id="173" w:name="_Toc202172865"/>
      <w:r>
        <w:rPr>
          <w:rStyle w:val="CharSectno"/>
        </w:rPr>
        <w:t>21</w:t>
      </w:r>
      <w:r>
        <w:rPr>
          <w:snapToGrid w:val="0"/>
        </w:rPr>
        <w:t>.</w:t>
      </w:r>
      <w:r>
        <w:rPr>
          <w:snapToGrid w:val="0"/>
        </w:rPr>
        <w:tab/>
        <w:t>Powers to obtain information</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rPr>
          <w:snapToGrid w:val="0"/>
        </w:rPr>
      </w:pPr>
      <w:bookmarkStart w:id="174" w:name="_Toc523651207"/>
      <w:bookmarkStart w:id="175" w:name="_Toc526045057"/>
      <w:bookmarkStart w:id="176" w:name="_Toc527791546"/>
      <w:bookmarkStart w:id="177" w:name="_Toc90458847"/>
      <w:bookmarkStart w:id="178" w:name="_Toc125264107"/>
      <w:bookmarkStart w:id="179" w:name="_Toc202172866"/>
      <w:r>
        <w:rPr>
          <w:rStyle w:val="CharSectno"/>
        </w:rPr>
        <w:t>22</w:t>
      </w:r>
      <w:r>
        <w:rPr>
          <w:snapToGrid w:val="0"/>
        </w:rPr>
        <w:t>.</w:t>
      </w:r>
      <w:r>
        <w:rPr>
          <w:snapToGrid w:val="0"/>
        </w:rPr>
        <w:tab/>
        <w:t>Powers in respect of documents etc.</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pPr>
      <w:r>
        <w:tab/>
        <w:t>[Section 22 amended by No. 67 of 2003 s. 62.]</w:t>
      </w:r>
    </w:p>
    <w:p>
      <w:pPr>
        <w:pStyle w:val="Heading5"/>
      </w:pPr>
      <w:bookmarkStart w:id="180" w:name="_Toc523651208"/>
      <w:bookmarkStart w:id="181" w:name="_Toc526045058"/>
      <w:bookmarkStart w:id="182" w:name="_Toc527791547"/>
      <w:bookmarkStart w:id="183" w:name="_Toc90458848"/>
      <w:bookmarkStart w:id="184" w:name="_Toc125264108"/>
      <w:bookmarkStart w:id="185" w:name="_Toc202172867"/>
      <w:r>
        <w:rPr>
          <w:rStyle w:val="CharSectno"/>
        </w:rPr>
        <w:t>22A</w:t>
      </w:r>
      <w:r>
        <w:t>.</w:t>
      </w:r>
      <w:r>
        <w:tab/>
        <w:t>Power of entry</w:t>
      </w:r>
      <w:bookmarkEnd w:id="180"/>
      <w:bookmarkEnd w:id="181"/>
      <w:bookmarkEnd w:id="182"/>
      <w:bookmarkEnd w:id="183"/>
      <w:bookmarkEnd w:id="184"/>
      <w:bookmarkEnd w:id="185"/>
    </w:p>
    <w:p>
      <w:pPr>
        <w:pStyle w:val="Subsection"/>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pPr>
      <w:bookmarkStart w:id="186" w:name="_Toc523651209"/>
      <w:bookmarkStart w:id="187" w:name="_Toc526045059"/>
      <w:bookmarkStart w:id="188" w:name="_Toc527791548"/>
      <w:bookmarkStart w:id="189" w:name="_Toc90458849"/>
      <w:bookmarkStart w:id="190" w:name="_Toc125264109"/>
      <w:bookmarkStart w:id="191" w:name="_Toc202172868"/>
      <w:r>
        <w:rPr>
          <w:rStyle w:val="CharSectno"/>
        </w:rPr>
        <w:t>22B</w:t>
      </w:r>
      <w:r>
        <w:t>.</w:t>
      </w:r>
      <w:r>
        <w:tab/>
        <w:t>Obstruction and deception</w:t>
      </w:r>
      <w:bookmarkEnd w:id="186"/>
      <w:bookmarkEnd w:id="187"/>
      <w:bookmarkEnd w:id="188"/>
      <w:bookmarkEnd w:id="189"/>
      <w:bookmarkEnd w:id="190"/>
      <w:bookmarkEnd w:id="191"/>
    </w:p>
    <w:p>
      <w:pPr>
        <w:pStyle w:val="Subsection"/>
      </w:pPr>
      <w:r>
        <w:tab/>
        <w:t>(1)</w:t>
      </w:r>
      <w:r>
        <w:tab/>
        <w:t>A person must not hinder or obstruct the Regulator exercising any power conferred by this Part.</w:t>
      </w:r>
    </w:p>
    <w:p>
      <w:pPr>
        <w:pStyle w:val="Penstart"/>
      </w:pPr>
      <w:r>
        <w:tab/>
        <w:t>Penalty: $100 000.</w:t>
      </w:r>
    </w:p>
    <w:p>
      <w:pPr>
        <w:pStyle w:val="Subsection"/>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rPr>
          <w:rStyle w:val="CharSectno"/>
        </w:rPr>
      </w:pPr>
      <w:bookmarkStart w:id="192" w:name="_Toc523651210"/>
      <w:bookmarkStart w:id="193" w:name="_Toc526045060"/>
      <w:bookmarkStart w:id="194" w:name="_Toc527791549"/>
      <w:bookmarkStart w:id="195" w:name="_Toc90458850"/>
      <w:bookmarkStart w:id="196" w:name="_Toc125264110"/>
      <w:bookmarkStart w:id="197" w:name="_Toc202172869"/>
      <w:r>
        <w:rPr>
          <w:rStyle w:val="CharSectno"/>
        </w:rPr>
        <w:t>22C.</w:t>
      </w:r>
      <w:r>
        <w:rPr>
          <w:rStyle w:val="CharSectno"/>
        </w:rPr>
        <w:tab/>
        <w:t>Legal professional privilege</w:t>
      </w:r>
      <w:bookmarkEnd w:id="192"/>
      <w:bookmarkEnd w:id="193"/>
      <w:bookmarkEnd w:id="194"/>
      <w:bookmarkEnd w:id="195"/>
      <w:bookmarkEnd w:id="196"/>
      <w:bookmarkEnd w:id="197"/>
    </w:p>
    <w:p>
      <w:pPr>
        <w:pStyle w:val="Subsection"/>
      </w:pPr>
      <w:r>
        <w:tab/>
      </w:r>
      <w:r>
        <w:tab/>
        <w:t xml:space="preserve">Nothing in this Part prevents a railway owner from refusing to — </w:t>
      </w:r>
    </w:p>
    <w:p>
      <w:pPr>
        <w:pStyle w:val="Indenta"/>
      </w:pPr>
      <w:r>
        <w:tab/>
        <w:t>(a)</w:t>
      </w:r>
      <w:r>
        <w:tab/>
        <w:t>send a statement or otherwise give information; or</w:t>
      </w:r>
    </w:p>
    <w:p>
      <w:pPr>
        <w:pStyle w:val="Indenta"/>
      </w:pPr>
      <w:r>
        <w:tab/>
        <w:t>(b)</w:t>
      </w:r>
      <w:r>
        <w:tab/>
        <w:t>produce or send a book, document or record,</w:t>
      </w:r>
    </w:p>
    <w:p>
      <w:pPr>
        <w:pStyle w:val="Subsection"/>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198" w:name="_Toc523651211"/>
      <w:bookmarkStart w:id="199" w:name="_Toc526045061"/>
      <w:bookmarkStart w:id="200" w:name="_Toc527791550"/>
      <w:bookmarkStart w:id="201" w:name="_Toc90458851"/>
      <w:bookmarkStart w:id="202" w:name="_Toc125264111"/>
      <w:bookmarkStart w:id="203" w:name="_Toc202172870"/>
      <w:r>
        <w:rPr>
          <w:rStyle w:val="CharSectno"/>
        </w:rPr>
        <w:t>22D</w:t>
      </w:r>
      <w:r>
        <w:t>.</w:t>
      </w:r>
      <w:r>
        <w:tab/>
        <w:t>Self</w:t>
      </w:r>
      <w:r>
        <w:noBreakHyphen/>
        <w:t>incrimination</w:t>
      </w:r>
      <w:bookmarkEnd w:id="198"/>
      <w:bookmarkEnd w:id="199"/>
      <w:bookmarkEnd w:id="200"/>
      <w:bookmarkEnd w:id="201"/>
      <w:bookmarkEnd w:id="202"/>
      <w:bookmarkEnd w:id="203"/>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04" w:name="_Toc523651212"/>
      <w:bookmarkStart w:id="205" w:name="_Toc526045062"/>
      <w:bookmarkStart w:id="206" w:name="_Toc527791551"/>
      <w:bookmarkStart w:id="207" w:name="_Toc90458852"/>
      <w:bookmarkStart w:id="208" w:name="_Toc125264112"/>
      <w:bookmarkStart w:id="209" w:name="_Toc202172871"/>
      <w:r>
        <w:rPr>
          <w:rStyle w:val="CharSectno"/>
        </w:rPr>
        <w:t>23</w:t>
      </w:r>
      <w:r>
        <w:rPr>
          <w:snapToGrid w:val="0"/>
        </w:rPr>
        <w:t>.</w:t>
      </w:r>
      <w:r>
        <w:rPr>
          <w:snapToGrid w:val="0"/>
        </w:rPr>
        <w:tab/>
        <w:t>Confidentiality</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23A-23G) repealed by No. 67 of 2003 s. 62.]</w:t>
      </w:r>
    </w:p>
    <w:p>
      <w:pPr>
        <w:pStyle w:val="Heading2"/>
      </w:pPr>
      <w:bookmarkStart w:id="210" w:name="_Toc90458792"/>
      <w:bookmarkStart w:id="211" w:name="_Toc90458853"/>
      <w:bookmarkStart w:id="212" w:name="_Toc125264113"/>
      <w:bookmarkStart w:id="213" w:name="_Toc202172774"/>
      <w:bookmarkStart w:id="214" w:name="_Toc202172872"/>
      <w:r>
        <w:rPr>
          <w:rStyle w:val="CharPartNo"/>
        </w:rPr>
        <w:t>Part 4</w:t>
      </w:r>
      <w:r>
        <w:t xml:space="preserve"> — </w:t>
      </w:r>
      <w:r>
        <w:rPr>
          <w:rStyle w:val="CharPartText"/>
        </w:rPr>
        <w:t>Administrative and accounting arrangements</w:t>
      </w:r>
      <w:bookmarkEnd w:id="210"/>
      <w:bookmarkEnd w:id="211"/>
      <w:bookmarkEnd w:id="212"/>
      <w:bookmarkEnd w:id="213"/>
      <w:bookmarkEnd w:id="214"/>
      <w:r>
        <w:rPr>
          <w:rStyle w:val="CharPartText"/>
        </w:rPr>
        <w:t xml:space="preserve"> </w:t>
      </w:r>
    </w:p>
    <w:p>
      <w:pPr>
        <w:pStyle w:val="Footnoteheading"/>
      </w:pPr>
      <w:r>
        <w:tab/>
        <w:t>[Heading amended by No. 13 of 2000 s. 76.]</w:t>
      </w:r>
    </w:p>
    <w:p>
      <w:pPr>
        <w:pStyle w:val="Heading3"/>
      </w:pPr>
      <w:bookmarkStart w:id="215" w:name="_Toc90458793"/>
      <w:bookmarkStart w:id="216" w:name="_Toc90458854"/>
      <w:bookmarkStart w:id="217" w:name="_Toc125264114"/>
      <w:bookmarkStart w:id="218" w:name="_Toc202172775"/>
      <w:bookmarkStart w:id="219" w:name="_Toc202172873"/>
      <w:r>
        <w:rPr>
          <w:rStyle w:val="CharDivNo"/>
        </w:rPr>
        <w:t>Division 1</w:t>
      </w:r>
      <w:r>
        <w:t xml:space="preserve"> — </w:t>
      </w:r>
      <w:r>
        <w:rPr>
          <w:rStyle w:val="CharDivText"/>
        </w:rPr>
        <w:t>Preliminary</w:t>
      </w:r>
      <w:bookmarkEnd w:id="215"/>
      <w:bookmarkEnd w:id="216"/>
      <w:bookmarkEnd w:id="217"/>
      <w:bookmarkEnd w:id="218"/>
      <w:bookmarkEnd w:id="219"/>
      <w:r>
        <w:rPr>
          <w:rStyle w:val="CharDivText"/>
        </w:rPr>
        <w:t xml:space="preserve"> </w:t>
      </w:r>
    </w:p>
    <w:p>
      <w:pPr>
        <w:pStyle w:val="Heading5"/>
        <w:rPr>
          <w:snapToGrid w:val="0"/>
        </w:rPr>
      </w:pPr>
      <w:bookmarkStart w:id="220" w:name="_Toc523651220"/>
      <w:bookmarkStart w:id="221" w:name="_Toc526045070"/>
      <w:bookmarkStart w:id="222" w:name="_Toc527791559"/>
      <w:bookmarkStart w:id="223" w:name="_Toc90458855"/>
      <w:bookmarkStart w:id="224" w:name="_Toc125264115"/>
      <w:bookmarkStart w:id="225" w:name="_Toc202172874"/>
      <w:r>
        <w:rPr>
          <w:rStyle w:val="CharSectno"/>
        </w:rPr>
        <w:t>24</w:t>
      </w:r>
      <w:r>
        <w:rPr>
          <w:snapToGrid w:val="0"/>
        </w:rPr>
        <w:t>.</w:t>
      </w:r>
      <w:r>
        <w:rPr>
          <w:snapToGrid w:val="0"/>
        </w:rPr>
        <w:tab/>
        <w:t>Definitions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b/>
          <w:bCs/>
        </w:rPr>
        <w:t>“</w:t>
      </w:r>
      <w:r>
        <w:rPr>
          <w:rStyle w:val="CharDefText"/>
        </w:rPr>
        <w:t>access</w:t>
      </w:r>
      <w:r>
        <w:rPr>
          <w:rStyle w:val="CharDefText"/>
        </w:rPr>
        <w:noBreakHyphen/>
        <w:t>related functions</w:t>
      </w:r>
      <w:r>
        <w:rPr>
          <w:b/>
          <w:bCs/>
        </w:rPr>
        <w:t>”</w:t>
      </w:r>
      <w:r>
        <w:rPr>
          <w:b/>
        </w:rPr>
        <w:t xml:space="preserve"> </w:t>
      </w:r>
      <w:r>
        <w:t xml:space="preserve">means the functions involved in arranging the provision of access to railway infrastructure under the Code; </w:t>
      </w:r>
    </w:p>
    <w:p>
      <w:pPr>
        <w:pStyle w:val="Defstart"/>
      </w:pPr>
      <w:r>
        <w:rPr>
          <w:b/>
        </w:rPr>
        <w:tab/>
      </w:r>
      <w:r>
        <w:rPr>
          <w:b/>
          <w:bCs/>
        </w:rPr>
        <w:t>“</w:t>
      </w:r>
      <w:r>
        <w:rPr>
          <w:rStyle w:val="CharDefText"/>
        </w:rPr>
        <w:t>officer of the Authority</w:t>
      </w:r>
      <w:r>
        <w:rPr>
          <w:b/>
          <w:bCs/>
        </w:rPr>
        <w:t>”</w:t>
      </w:r>
      <w:r>
        <w:rPr>
          <w:b/>
        </w:rPr>
        <w:t xml:space="preserve"> </w:t>
      </w:r>
      <w:r>
        <w:t xml:space="preserve">includes an officer of the Department as defined in the </w:t>
      </w:r>
      <w:r>
        <w:rPr>
          <w:i/>
        </w:rPr>
        <w:t>Government Railways Act 1904</w:t>
      </w:r>
      <w:r>
        <w:t>;</w:t>
      </w:r>
    </w:p>
    <w:p>
      <w:pPr>
        <w:pStyle w:val="Defstart"/>
      </w:pPr>
      <w:r>
        <w:rPr>
          <w:b/>
        </w:rPr>
        <w:tab/>
      </w:r>
      <w:r>
        <w:rPr>
          <w:b/>
          <w:bCs/>
        </w:rPr>
        <w:t>“</w:t>
      </w:r>
      <w:r>
        <w:rPr>
          <w:rStyle w:val="CharDefText"/>
        </w:rPr>
        <w:t>relevant officer</w:t>
      </w:r>
      <w:r>
        <w:rPr>
          <w:b/>
          <w:bCs/>
        </w:rPr>
        <w:t>”</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26" w:name="_Toc523651221"/>
      <w:bookmarkStart w:id="227" w:name="_Toc526045071"/>
      <w:bookmarkStart w:id="228" w:name="_Toc527791560"/>
      <w:bookmarkStart w:id="229" w:name="_Toc90458856"/>
      <w:bookmarkStart w:id="230" w:name="_Toc125264116"/>
      <w:bookmarkStart w:id="231" w:name="_Toc202172875"/>
      <w:r>
        <w:rPr>
          <w:rStyle w:val="CharSectno"/>
        </w:rPr>
        <w:t>25</w:t>
      </w:r>
      <w:r>
        <w:rPr>
          <w:snapToGrid w:val="0"/>
        </w:rPr>
        <w:t>.</w:t>
      </w:r>
      <w:r>
        <w:rPr>
          <w:snapToGrid w:val="0"/>
        </w:rPr>
        <w:tab/>
        <w:t>This Part prevails over the </w:t>
      </w:r>
      <w:r>
        <w:rPr>
          <w:i/>
          <w:snapToGrid w:val="0"/>
        </w:rPr>
        <w:t>Government Railways Act 1904</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32" w:name="_Toc90458796"/>
      <w:bookmarkStart w:id="233" w:name="_Toc90458857"/>
      <w:bookmarkStart w:id="234" w:name="_Toc125264117"/>
      <w:bookmarkStart w:id="235" w:name="_Toc202172778"/>
      <w:bookmarkStart w:id="236" w:name="_Toc202172876"/>
      <w:r>
        <w:rPr>
          <w:rStyle w:val="CharDivNo"/>
        </w:rPr>
        <w:t>Division 2</w:t>
      </w:r>
      <w:r>
        <w:rPr>
          <w:snapToGrid w:val="0"/>
        </w:rPr>
        <w:t> — </w:t>
      </w:r>
      <w:r>
        <w:rPr>
          <w:rStyle w:val="CharDivText"/>
        </w:rPr>
        <w:t>Administrative arrangements</w:t>
      </w:r>
      <w:bookmarkEnd w:id="232"/>
      <w:bookmarkEnd w:id="233"/>
      <w:bookmarkEnd w:id="234"/>
      <w:bookmarkEnd w:id="235"/>
      <w:bookmarkEnd w:id="236"/>
      <w:r>
        <w:rPr>
          <w:rStyle w:val="CharDivText"/>
        </w:rPr>
        <w:t xml:space="preserve"> </w:t>
      </w:r>
    </w:p>
    <w:p>
      <w:pPr>
        <w:pStyle w:val="Heading5"/>
        <w:rPr>
          <w:snapToGrid w:val="0"/>
        </w:rPr>
      </w:pPr>
      <w:bookmarkStart w:id="237" w:name="_Toc523651222"/>
      <w:bookmarkStart w:id="238" w:name="_Toc526045072"/>
      <w:bookmarkStart w:id="239" w:name="_Toc527791561"/>
      <w:bookmarkStart w:id="240" w:name="_Toc90458858"/>
      <w:bookmarkStart w:id="241" w:name="_Toc125264118"/>
      <w:bookmarkStart w:id="242" w:name="_Toc202172877"/>
      <w:r>
        <w:rPr>
          <w:rStyle w:val="CharSectno"/>
        </w:rPr>
        <w:t>26</w:t>
      </w:r>
      <w:r>
        <w:rPr>
          <w:snapToGrid w:val="0"/>
        </w:rPr>
        <w:t>.</w:t>
      </w:r>
      <w:r>
        <w:rPr>
          <w:snapToGrid w:val="0"/>
        </w:rPr>
        <w:tab/>
        <w:t>Commission to make administrative arrangements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43" w:name="_Toc90458859"/>
      <w:bookmarkStart w:id="244" w:name="_Toc125264119"/>
      <w:bookmarkStart w:id="245" w:name="_Toc202172878"/>
      <w:r>
        <w:rPr>
          <w:rStyle w:val="CharSectno"/>
        </w:rPr>
        <w:t>27</w:t>
      </w:r>
      <w:r>
        <w:t>.</w:t>
      </w:r>
      <w:r>
        <w:tab/>
        <w:t>Delegation</w:t>
      </w:r>
      <w:bookmarkEnd w:id="243"/>
      <w:bookmarkEnd w:id="244"/>
      <w:bookmarkEnd w:id="245"/>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46" w:name="_Toc90458799"/>
      <w:bookmarkStart w:id="247" w:name="_Toc90458860"/>
      <w:bookmarkStart w:id="248" w:name="_Toc125264120"/>
      <w:bookmarkStart w:id="249" w:name="_Toc202172781"/>
      <w:bookmarkStart w:id="250" w:name="_Toc202172879"/>
      <w:r>
        <w:rPr>
          <w:rStyle w:val="CharDivNo"/>
        </w:rPr>
        <w:t>Division 3</w:t>
      </w:r>
      <w:r>
        <w:rPr>
          <w:snapToGrid w:val="0"/>
        </w:rPr>
        <w:t> — </w:t>
      </w:r>
      <w:r>
        <w:rPr>
          <w:rStyle w:val="CharDivText"/>
        </w:rPr>
        <w:t>Segregation of access</w:t>
      </w:r>
      <w:r>
        <w:rPr>
          <w:rStyle w:val="CharDivText"/>
        </w:rPr>
        <w:noBreakHyphen/>
        <w:t>related functions</w:t>
      </w:r>
      <w:bookmarkEnd w:id="246"/>
      <w:bookmarkEnd w:id="247"/>
      <w:bookmarkEnd w:id="248"/>
      <w:bookmarkEnd w:id="249"/>
      <w:bookmarkEnd w:id="250"/>
      <w:r>
        <w:rPr>
          <w:rStyle w:val="CharDivText"/>
        </w:rPr>
        <w:t xml:space="preserve"> </w:t>
      </w:r>
    </w:p>
    <w:p>
      <w:pPr>
        <w:pStyle w:val="Heading5"/>
        <w:rPr>
          <w:snapToGrid w:val="0"/>
        </w:rPr>
      </w:pPr>
      <w:bookmarkStart w:id="251" w:name="_Toc523651224"/>
      <w:bookmarkStart w:id="252" w:name="_Toc526045074"/>
      <w:bookmarkStart w:id="253" w:name="_Toc527791563"/>
      <w:bookmarkStart w:id="254" w:name="_Toc90458861"/>
      <w:bookmarkStart w:id="255" w:name="_Toc125264121"/>
      <w:bookmarkStart w:id="256" w:name="_Toc202172880"/>
      <w:r>
        <w:rPr>
          <w:rStyle w:val="CharSectno"/>
        </w:rPr>
        <w:t>28</w:t>
      </w:r>
      <w:r>
        <w:rPr>
          <w:snapToGrid w:val="0"/>
        </w:rPr>
        <w:t>.</w:t>
      </w:r>
      <w:r>
        <w:rPr>
          <w:snapToGrid w:val="0"/>
        </w:rPr>
        <w:tab/>
        <w:t>Duty to segregate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57" w:name="_Toc523651225"/>
      <w:bookmarkStart w:id="258" w:name="_Toc526045075"/>
      <w:bookmarkStart w:id="259" w:name="_Toc527791564"/>
      <w:bookmarkStart w:id="260" w:name="_Toc90458862"/>
      <w:bookmarkStart w:id="261" w:name="_Toc125264122"/>
      <w:bookmarkStart w:id="262" w:name="_Toc202172881"/>
      <w:r>
        <w:rPr>
          <w:rStyle w:val="CharSectno"/>
        </w:rPr>
        <w:t>29</w:t>
      </w:r>
      <w:r>
        <w:rPr>
          <w:snapToGrid w:val="0"/>
        </w:rPr>
        <w:t>.</w:t>
      </w:r>
      <w:r>
        <w:rPr>
          <w:snapToGrid w:val="0"/>
        </w:rPr>
        <w:tab/>
        <w:t>Powers of Regulator in relation to segregation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63" w:name="_Toc523651226"/>
      <w:bookmarkStart w:id="264" w:name="_Toc526045076"/>
      <w:bookmarkStart w:id="265" w:name="_Toc527791565"/>
      <w:bookmarkStart w:id="266" w:name="_Toc90458863"/>
      <w:bookmarkStart w:id="267" w:name="_Toc125264123"/>
      <w:bookmarkStart w:id="268" w:name="_Toc202172882"/>
      <w:r>
        <w:rPr>
          <w:rStyle w:val="CharSectno"/>
        </w:rPr>
        <w:t>30</w:t>
      </w:r>
      <w:r>
        <w:rPr>
          <w:snapToGrid w:val="0"/>
        </w:rPr>
        <w:t>.</w:t>
      </w:r>
      <w:r>
        <w:rPr>
          <w:snapToGrid w:val="0"/>
        </w:rPr>
        <w:tab/>
        <w:t>Matters to be covered under section 28</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69" w:name="_Toc523651227"/>
      <w:bookmarkStart w:id="270" w:name="_Toc526045077"/>
      <w:bookmarkStart w:id="271" w:name="_Toc527791566"/>
      <w:bookmarkStart w:id="272" w:name="_Toc90458864"/>
      <w:bookmarkStart w:id="273" w:name="_Toc125264124"/>
      <w:bookmarkStart w:id="274" w:name="_Toc202172883"/>
      <w:r>
        <w:rPr>
          <w:rStyle w:val="CharSectno"/>
        </w:rPr>
        <w:t>31</w:t>
      </w:r>
      <w:r>
        <w:rPr>
          <w:snapToGrid w:val="0"/>
        </w:rPr>
        <w:t>.</w:t>
      </w:r>
      <w:r>
        <w:rPr>
          <w:snapToGrid w:val="0"/>
        </w:rPr>
        <w:tab/>
        <w:t>Protection of confidential information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b/>
          <w:bCs/>
        </w:rPr>
        <w:t>“</w:t>
      </w:r>
      <w:r>
        <w:rPr>
          <w:rStyle w:val="CharDefText"/>
        </w:rPr>
        <w:t>confidential information</w:t>
      </w:r>
      <w:r>
        <w:rPr>
          <w:b/>
          <w:bCs/>
        </w:rPr>
        <w:t>”</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275" w:name="_Toc523651228"/>
      <w:bookmarkStart w:id="276" w:name="_Toc526045078"/>
      <w:bookmarkStart w:id="277" w:name="_Toc527791567"/>
      <w:bookmarkStart w:id="278" w:name="_Toc90458865"/>
      <w:bookmarkStart w:id="279" w:name="_Toc125264125"/>
      <w:bookmarkStart w:id="280" w:name="_Toc202172884"/>
      <w:r>
        <w:rPr>
          <w:rStyle w:val="CharSectno"/>
        </w:rPr>
        <w:t>32</w:t>
      </w:r>
      <w:r>
        <w:rPr>
          <w:snapToGrid w:val="0"/>
        </w:rPr>
        <w:t>.</w:t>
      </w:r>
      <w:r>
        <w:rPr>
          <w:snapToGrid w:val="0"/>
        </w:rPr>
        <w:tab/>
        <w:t>Avoidance of conflict of interest</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281" w:name="_Toc523651229"/>
      <w:bookmarkStart w:id="282" w:name="_Toc526045079"/>
      <w:bookmarkStart w:id="283" w:name="_Toc527791568"/>
      <w:bookmarkStart w:id="284" w:name="_Toc90458866"/>
      <w:bookmarkStart w:id="285" w:name="_Toc125264126"/>
      <w:bookmarkStart w:id="286" w:name="_Toc202172885"/>
      <w:r>
        <w:rPr>
          <w:rStyle w:val="CharSectno"/>
        </w:rPr>
        <w:t>33</w:t>
      </w:r>
      <w:r>
        <w:rPr>
          <w:snapToGrid w:val="0"/>
        </w:rPr>
        <w:t>.</w:t>
      </w:r>
      <w:r>
        <w:rPr>
          <w:snapToGrid w:val="0"/>
        </w:rPr>
        <w:tab/>
        <w:t>Duty of fairness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287" w:name="_Toc523651230"/>
      <w:bookmarkStart w:id="288" w:name="_Toc526045080"/>
      <w:bookmarkStart w:id="289" w:name="_Toc527791569"/>
      <w:bookmarkStart w:id="290" w:name="_Toc90458867"/>
      <w:bookmarkStart w:id="291" w:name="_Toc125264127"/>
      <w:bookmarkStart w:id="292" w:name="_Toc202172886"/>
      <w:r>
        <w:rPr>
          <w:rStyle w:val="CharSectno"/>
        </w:rPr>
        <w:t>34</w:t>
      </w:r>
      <w:r>
        <w:rPr>
          <w:snapToGrid w:val="0"/>
        </w:rPr>
        <w:t>.</w:t>
      </w:r>
      <w:r>
        <w:rPr>
          <w:snapToGrid w:val="0"/>
        </w:rPr>
        <w:tab/>
        <w:t>Maintenance of separate accounts and records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293" w:name="_Toc90458807"/>
      <w:bookmarkStart w:id="294" w:name="_Toc90458868"/>
      <w:bookmarkStart w:id="295" w:name="_Toc125264128"/>
      <w:bookmarkStart w:id="296" w:name="_Toc202172789"/>
      <w:bookmarkStart w:id="297" w:name="_Toc202172887"/>
      <w:r>
        <w:rPr>
          <w:rStyle w:val="CharPartNo"/>
        </w:rPr>
        <w:t>Part 5</w:t>
      </w:r>
      <w:r>
        <w:rPr>
          <w:rStyle w:val="CharDivNo"/>
        </w:rPr>
        <w:t> </w:t>
      </w:r>
      <w:r>
        <w:t>—</w:t>
      </w:r>
      <w:r>
        <w:rPr>
          <w:rStyle w:val="CharDivText"/>
        </w:rPr>
        <w:t> </w:t>
      </w:r>
      <w:r>
        <w:rPr>
          <w:rStyle w:val="CharPartText"/>
        </w:rPr>
        <w:t>Enforcement</w:t>
      </w:r>
      <w:bookmarkEnd w:id="293"/>
      <w:bookmarkEnd w:id="294"/>
      <w:bookmarkEnd w:id="295"/>
      <w:bookmarkEnd w:id="296"/>
      <w:bookmarkEnd w:id="297"/>
      <w:r>
        <w:rPr>
          <w:rStyle w:val="CharPartText"/>
        </w:rPr>
        <w:t xml:space="preserve"> </w:t>
      </w:r>
    </w:p>
    <w:p>
      <w:pPr>
        <w:pStyle w:val="Heading5"/>
      </w:pPr>
      <w:bookmarkStart w:id="298" w:name="_Toc523651231"/>
      <w:bookmarkStart w:id="299" w:name="_Toc526045081"/>
      <w:bookmarkStart w:id="300" w:name="_Toc527791570"/>
      <w:bookmarkStart w:id="301" w:name="_Toc90458869"/>
      <w:bookmarkStart w:id="302" w:name="_Toc125264129"/>
      <w:bookmarkStart w:id="303" w:name="_Toc202172888"/>
      <w:r>
        <w:rPr>
          <w:rStyle w:val="CharSectno"/>
        </w:rPr>
        <w:t>34A</w:t>
      </w:r>
      <w:r>
        <w:rPr>
          <w:snapToGrid w:val="0"/>
        </w:rPr>
        <w:t>.</w:t>
      </w:r>
      <w:r>
        <w:rPr>
          <w:snapToGrid w:val="0"/>
        </w:rPr>
        <w:tab/>
      </w:r>
      <w:r>
        <w:t>Prohibitions on hindering or preventing access</w:t>
      </w:r>
      <w:bookmarkEnd w:id="298"/>
      <w:bookmarkEnd w:id="299"/>
      <w:bookmarkEnd w:id="300"/>
      <w:bookmarkEnd w:id="301"/>
      <w:bookmarkEnd w:id="302"/>
      <w:bookmarkEnd w:id="303"/>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04" w:name="_Toc523651232"/>
      <w:bookmarkStart w:id="305" w:name="_Toc526045082"/>
      <w:bookmarkStart w:id="306" w:name="_Toc527791571"/>
      <w:bookmarkStart w:id="307" w:name="_Toc90458870"/>
      <w:bookmarkStart w:id="308" w:name="_Toc125264130"/>
      <w:bookmarkStart w:id="309" w:name="_Toc202172889"/>
      <w:r>
        <w:rPr>
          <w:rStyle w:val="CharSectno"/>
        </w:rPr>
        <w:t>35</w:t>
      </w:r>
      <w:r>
        <w:rPr>
          <w:snapToGrid w:val="0"/>
        </w:rPr>
        <w:t>.</w:t>
      </w:r>
      <w:r>
        <w:rPr>
          <w:snapToGrid w:val="0"/>
        </w:rPr>
        <w:tab/>
        <w:t>Contract enforcement not affected</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10" w:name="_Toc523651233"/>
      <w:bookmarkStart w:id="311" w:name="_Toc526045083"/>
      <w:bookmarkStart w:id="312" w:name="_Toc527791572"/>
      <w:bookmarkStart w:id="313" w:name="_Toc90458871"/>
      <w:bookmarkStart w:id="314" w:name="_Toc125264131"/>
      <w:bookmarkStart w:id="315" w:name="_Toc202172890"/>
      <w:r>
        <w:rPr>
          <w:rStyle w:val="CharSectno"/>
        </w:rPr>
        <w:t>36</w:t>
      </w:r>
      <w:r>
        <w:rPr>
          <w:snapToGrid w:val="0"/>
        </w:rPr>
        <w:t>.</w:t>
      </w:r>
      <w:r>
        <w:rPr>
          <w:snapToGrid w:val="0"/>
        </w:rPr>
        <w:tab/>
        <w:t>Remedies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16" w:name="_Toc523651234"/>
      <w:bookmarkStart w:id="317" w:name="_Toc526045084"/>
      <w:bookmarkStart w:id="318" w:name="_Toc527791573"/>
      <w:bookmarkStart w:id="319" w:name="_Toc90458872"/>
      <w:bookmarkStart w:id="320" w:name="_Toc125264132"/>
      <w:bookmarkStart w:id="321" w:name="_Toc202172891"/>
      <w:r>
        <w:rPr>
          <w:rStyle w:val="CharSectno"/>
        </w:rPr>
        <w:t>37</w:t>
      </w:r>
      <w:r>
        <w:rPr>
          <w:snapToGrid w:val="0"/>
        </w:rPr>
        <w:t>.</w:t>
      </w:r>
      <w:r>
        <w:rPr>
          <w:snapToGrid w:val="0"/>
        </w:rPr>
        <w:tab/>
        <w:t>Injunctions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322" w:name="_Toc90458812"/>
      <w:bookmarkStart w:id="323" w:name="_Toc90458873"/>
      <w:bookmarkStart w:id="324" w:name="_Toc125264133"/>
      <w:bookmarkStart w:id="325" w:name="_Toc202172794"/>
      <w:bookmarkStart w:id="326" w:name="_Toc202172892"/>
      <w:r>
        <w:t>Notes</w:t>
      </w:r>
      <w:bookmarkEnd w:id="322"/>
      <w:bookmarkEnd w:id="323"/>
      <w:bookmarkEnd w:id="324"/>
      <w:bookmarkEnd w:id="325"/>
      <w:bookmarkEnd w:id="32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Railways (Access) Act 1998</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327" w:name="_Toc523651236"/>
      <w:bookmarkStart w:id="328" w:name="_Toc527791574"/>
      <w:bookmarkStart w:id="329" w:name="_Toc90458874"/>
      <w:bookmarkStart w:id="330" w:name="_Toc125264134"/>
      <w:bookmarkStart w:id="331" w:name="_Toc202172893"/>
      <w:r>
        <w:t>Compilation table</w:t>
      </w:r>
      <w:bookmarkEnd w:id="327"/>
      <w:bookmarkEnd w:id="328"/>
      <w:bookmarkEnd w:id="329"/>
      <w:bookmarkEnd w:id="330"/>
      <w:bookmarkEnd w:id="3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2</w:t>
            </w:r>
          </w:p>
        </w:tc>
        <w:tc>
          <w:tcPr>
            <w:tcW w:w="1134" w:type="dxa"/>
            <w:gridSpan w:val="2"/>
            <w:tcBorders>
              <w:top w:val="nil"/>
              <w:bottom w:val="nil"/>
            </w:tcBorders>
          </w:tcPr>
          <w:p>
            <w:pPr>
              <w:pStyle w:val="nTable"/>
              <w:spacing w:before="120"/>
              <w:rPr>
                <w:sz w:val="19"/>
              </w:rPr>
            </w:pPr>
            <w:r>
              <w:rPr>
                <w:sz w:val="19"/>
              </w:rPr>
              <w:t xml:space="preserve">49 of 1998 </w:t>
            </w:r>
          </w:p>
        </w:tc>
        <w:tc>
          <w:tcPr>
            <w:tcW w:w="1134" w:type="dxa"/>
            <w:gridSpan w:val="2"/>
            <w:tcBorders>
              <w:top w:val="nil"/>
              <w:bottom w:val="nil"/>
            </w:tcBorders>
          </w:tcPr>
          <w:p>
            <w:pPr>
              <w:pStyle w:val="nTable"/>
              <w:spacing w:before="120"/>
              <w:rPr>
                <w:sz w:val="19"/>
              </w:rPr>
            </w:pPr>
            <w:r>
              <w:rPr>
                <w:sz w:val="19"/>
              </w:rPr>
              <w:t>30 Nov 1998</w:t>
            </w:r>
          </w:p>
        </w:tc>
        <w:tc>
          <w:tcPr>
            <w:tcW w:w="2552" w:type="dxa"/>
            <w:gridSpan w:val="2"/>
            <w:tcBorders>
              <w:top w:val="nil"/>
              <w:bottom w:val="nil"/>
            </w:tcBorders>
          </w:tcPr>
          <w:p>
            <w:pPr>
              <w:pStyle w:val="nTable"/>
              <w:spacing w:before="120"/>
              <w:ind w:right="-84"/>
              <w:rPr>
                <w:sz w:val="19"/>
              </w:rPr>
            </w:pPr>
            <w:r>
              <w:rPr>
                <w:sz w:val="19"/>
              </w:rPr>
              <w:t>Pt. 6: 30 Nov 1998 (see s. 2(1));</w:t>
            </w:r>
            <w:r>
              <w:rPr>
                <w:sz w:val="19"/>
              </w:rPr>
              <w:br/>
              <w:t>balance other than Pt. 3</w:t>
            </w:r>
            <w:r>
              <w:rPr>
                <w:sz w:val="19"/>
              </w:rPr>
              <w:noBreakHyphen/>
              <w:t xml:space="preserve">5 and 7 (as amended by No. 13 of 2000): 12 Aug 2000 (see s. 2(2) and </w:t>
            </w:r>
            <w:r>
              <w:rPr>
                <w:i/>
                <w:sz w:val="19"/>
              </w:rPr>
              <w:t>Gazette</w:t>
            </w:r>
            <w:r>
              <w:rPr>
                <w:sz w:val="19"/>
              </w:rPr>
              <w:t xml:space="preserve"> 11 Aug 2000 p. 4691);</w:t>
            </w:r>
            <w:r>
              <w:rPr>
                <w:sz w:val="19"/>
              </w:rPr>
              <w:br/>
              <w:t>Pt. 3</w:t>
            </w:r>
            <w:r>
              <w:rPr>
                <w:sz w:val="19"/>
              </w:rPr>
              <w:noBreakHyphen/>
              <w:t xml:space="preserve">5 and 7 (as amended by No. 13 and 55 of 2000):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keepNext/>
              <w:spacing w:before="12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3</w:t>
            </w:r>
          </w:p>
        </w:tc>
        <w:tc>
          <w:tcPr>
            <w:tcW w:w="1134" w:type="dxa"/>
            <w:gridSpan w:val="2"/>
            <w:tcBorders>
              <w:top w:val="nil"/>
              <w:bottom w:val="nil"/>
            </w:tcBorders>
          </w:tcPr>
          <w:p>
            <w:pPr>
              <w:pStyle w:val="nTable"/>
              <w:spacing w:before="120"/>
              <w:rPr>
                <w:sz w:val="19"/>
              </w:rPr>
            </w:pPr>
            <w:r>
              <w:rPr>
                <w:sz w:val="19"/>
              </w:rPr>
              <w:t>13 of 2000</w:t>
            </w:r>
          </w:p>
        </w:tc>
        <w:tc>
          <w:tcPr>
            <w:tcW w:w="1134" w:type="dxa"/>
            <w:gridSpan w:val="2"/>
            <w:tcBorders>
              <w:top w:val="nil"/>
              <w:bottom w:val="nil"/>
            </w:tcBorders>
          </w:tcPr>
          <w:p>
            <w:pPr>
              <w:pStyle w:val="nTable"/>
              <w:spacing w:before="120"/>
              <w:rPr>
                <w:sz w:val="19"/>
              </w:rPr>
            </w:pPr>
            <w:r>
              <w:rPr>
                <w:sz w:val="19"/>
              </w:rPr>
              <w:t xml:space="preserve">8 Jun 2000 </w:t>
            </w:r>
          </w:p>
        </w:tc>
        <w:tc>
          <w:tcPr>
            <w:tcW w:w="2552" w:type="dxa"/>
            <w:gridSpan w:val="2"/>
            <w:tcBorders>
              <w:top w:val="nil"/>
              <w:bottom w:val="nil"/>
            </w:tcBorders>
          </w:tcPr>
          <w:p>
            <w:pPr>
              <w:pStyle w:val="nTable"/>
              <w:spacing w:before="12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before="120"/>
              <w:ind w:right="113"/>
              <w:rPr>
                <w:snapToGrid w:val="0"/>
                <w:sz w:val="19"/>
              </w:rPr>
            </w:pPr>
            <w:r>
              <w:rPr>
                <w:i/>
                <w:snapToGrid w:val="0"/>
                <w:sz w:val="19"/>
              </w:rPr>
              <w:t xml:space="preserve">Railways (Access) Amendment Act 2000 </w:t>
            </w:r>
            <w:r>
              <w:rPr>
                <w:snapToGrid w:val="0"/>
                <w:sz w:val="19"/>
              </w:rPr>
              <w:t>Pt. 2</w:t>
            </w:r>
          </w:p>
        </w:tc>
        <w:tc>
          <w:tcPr>
            <w:tcW w:w="1134" w:type="dxa"/>
            <w:gridSpan w:val="2"/>
            <w:tcBorders>
              <w:top w:val="nil"/>
              <w:bottom w:val="nil"/>
            </w:tcBorders>
          </w:tcPr>
          <w:p>
            <w:pPr>
              <w:pStyle w:val="nTable"/>
              <w:spacing w:before="120"/>
              <w:rPr>
                <w:sz w:val="19"/>
              </w:rPr>
            </w:pPr>
            <w:r>
              <w:rPr>
                <w:sz w:val="19"/>
              </w:rPr>
              <w:t>55 of 2000</w:t>
            </w:r>
          </w:p>
        </w:tc>
        <w:tc>
          <w:tcPr>
            <w:tcW w:w="1134" w:type="dxa"/>
            <w:gridSpan w:val="2"/>
            <w:tcBorders>
              <w:top w:val="nil"/>
              <w:bottom w:val="nil"/>
            </w:tcBorders>
          </w:tcPr>
          <w:p>
            <w:pPr>
              <w:pStyle w:val="nTable"/>
              <w:spacing w:before="120"/>
              <w:rPr>
                <w:sz w:val="19"/>
              </w:rPr>
            </w:pPr>
            <w:r>
              <w:rPr>
                <w:sz w:val="19"/>
              </w:rPr>
              <w:t>28 Nov 2000</w:t>
            </w:r>
          </w:p>
        </w:tc>
        <w:tc>
          <w:tcPr>
            <w:tcW w:w="2552" w:type="dxa"/>
            <w:gridSpan w:val="2"/>
            <w:tcBorders>
              <w:top w:val="nil"/>
              <w:bottom w:val="nil"/>
            </w:tcBorders>
          </w:tcPr>
          <w:p>
            <w:pPr>
              <w:pStyle w:val="nTable"/>
              <w:spacing w:before="120"/>
              <w:rPr>
                <w:sz w:val="19"/>
              </w:rPr>
            </w:pPr>
            <w:r>
              <w:rPr>
                <w:sz w:val="19"/>
              </w:rPr>
              <w:t>28 Nov 2000 (see s. 2)</w:t>
            </w:r>
          </w:p>
        </w:tc>
      </w:tr>
      <w:tr>
        <w:trPr>
          <w:cantSplit/>
        </w:trPr>
        <w:tc>
          <w:tcPr>
            <w:tcW w:w="7088" w:type="dxa"/>
            <w:gridSpan w:val="7"/>
            <w:tcBorders>
              <w:top w:val="nil"/>
              <w:left w:val="nil"/>
              <w:bottom w:val="nil"/>
              <w:right w:val="nil"/>
            </w:tcBorders>
          </w:tcPr>
          <w:p>
            <w:pPr>
              <w:pStyle w:val="nTable"/>
              <w:spacing w:before="12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to the </w:t>
            </w:r>
            <w:r>
              <w:rPr>
                <w:i/>
                <w:sz w:val="19"/>
              </w:rPr>
              <w:t>Government Railways (Access) Act 1998</w:t>
            </w:r>
            <w:r>
              <w:rPr>
                <w:sz w:val="19"/>
              </w:rPr>
              <w:t xml:space="preserve">  Pt. 3-5 and 7; those Parts are also not included)</w:t>
            </w:r>
            <w:r>
              <w:rPr>
                <w:b/>
                <w:sz w:val="19"/>
              </w:rPr>
              <w:t xml:space="preserve"> </w:t>
            </w:r>
          </w:p>
        </w:tc>
      </w:tr>
      <w:tr>
        <w:trPr>
          <w:cantSplit/>
        </w:trPr>
        <w:tc>
          <w:tcPr>
            <w:tcW w:w="7088" w:type="dxa"/>
            <w:gridSpan w:val="7"/>
            <w:tcBorders>
              <w:top w:val="nil"/>
              <w:left w:val="nil"/>
              <w:bottom w:val="nil"/>
              <w:right w:val="nil"/>
            </w:tcBorders>
          </w:tcPr>
          <w:p>
            <w:pPr>
              <w:pStyle w:val="nTable"/>
              <w:spacing w:before="120"/>
            </w:pPr>
            <w:r>
              <w:rPr>
                <w:b/>
                <w:sz w:val="19"/>
              </w:rPr>
              <w:t xml:space="preserve">Reprint of the </w:t>
            </w:r>
            <w:r>
              <w:rPr>
                <w:b/>
                <w:i/>
                <w:sz w:val="19"/>
              </w:rPr>
              <w:t xml:space="preserve">Railways (Access) Act 1998 </w:t>
            </w:r>
            <w:r>
              <w:rPr>
                <w:b/>
                <w:sz w:val="19"/>
              </w:rPr>
              <w:t>as at 12 Oct 2001</w:t>
            </w:r>
            <w:r>
              <w:rPr>
                <w:b/>
              </w:rPr>
              <w:t xml:space="preserve"> </w:t>
            </w:r>
            <w:r>
              <w:t>(includes amendments listed above)</w:t>
            </w:r>
          </w:p>
        </w:tc>
      </w:tr>
      <w:tr>
        <w:trPr>
          <w:cantSplit/>
        </w:trPr>
        <w:tc>
          <w:tcPr>
            <w:tcW w:w="2296" w:type="dxa"/>
            <w:gridSpan w:val="2"/>
            <w:tcBorders>
              <w:top w:val="nil"/>
              <w:left w:val="nil"/>
              <w:bottom w:val="nil"/>
              <w:right w:val="nil"/>
            </w:tcBorders>
          </w:tcPr>
          <w:p>
            <w:pPr>
              <w:pStyle w:val="nTable"/>
              <w:spacing w:before="12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gridSpan w:val="2"/>
            <w:tcBorders>
              <w:top w:val="nil"/>
              <w:left w:val="nil"/>
              <w:bottom w:val="nil"/>
              <w:right w:val="nil"/>
            </w:tcBorders>
          </w:tcPr>
          <w:p>
            <w:pPr>
              <w:pStyle w:val="nTable"/>
              <w:spacing w:before="120"/>
              <w:rPr>
                <w:sz w:val="19"/>
              </w:rPr>
            </w:pPr>
            <w:r>
              <w:rPr>
                <w:snapToGrid w:val="0"/>
                <w:sz w:val="19"/>
              </w:rPr>
              <w:t>7 of 2002</w:t>
            </w:r>
          </w:p>
        </w:tc>
        <w:tc>
          <w:tcPr>
            <w:tcW w:w="1134" w:type="dxa"/>
            <w:gridSpan w:val="2"/>
            <w:tcBorders>
              <w:top w:val="nil"/>
              <w:left w:val="nil"/>
              <w:bottom w:val="nil"/>
              <w:right w:val="nil"/>
            </w:tcBorders>
          </w:tcPr>
          <w:p>
            <w:pPr>
              <w:pStyle w:val="nTable"/>
              <w:spacing w:before="120"/>
              <w:rPr>
                <w:sz w:val="19"/>
              </w:rPr>
            </w:pPr>
            <w:r>
              <w:rPr>
                <w:sz w:val="19"/>
              </w:rPr>
              <w:t>19 Jun 2002</w:t>
            </w:r>
          </w:p>
        </w:tc>
        <w:tc>
          <w:tcPr>
            <w:tcW w:w="2524" w:type="dxa"/>
            <w:tcBorders>
              <w:top w:val="nil"/>
              <w:left w:val="nil"/>
              <w:bottom w:val="nil"/>
              <w:right w:val="nil"/>
            </w:tcBorders>
          </w:tcPr>
          <w:p>
            <w:pPr>
              <w:pStyle w:val="nTable"/>
              <w:spacing w:before="120"/>
              <w:rPr>
                <w:sz w:val="19"/>
              </w:rPr>
            </w:pPr>
            <w:r>
              <w:rPr>
                <w:sz w:val="19"/>
              </w:rPr>
              <w:t xml:space="preserve">1 Jul 2002 (see s. 2 and </w:t>
            </w:r>
            <w:r>
              <w:rPr>
                <w:i/>
                <w:sz w:val="19"/>
              </w:rPr>
              <w:t>Gazette</w:t>
            </w:r>
            <w:r>
              <w:rPr>
                <w:sz w:val="19"/>
              </w:rPr>
              <w:t xml:space="preserve"> 28 Jun 2002 p. 3037)</w:t>
            </w:r>
          </w:p>
        </w:tc>
      </w:tr>
      <w:tr>
        <w:trPr>
          <w:cantSplit/>
        </w:trPr>
        <w:tc>
          <w:tcPr>
            <w:tcW w:w="2296" w:type="dxa"/>
            <w:gridSpan w:val="2"/>
            <w:tcBorders>
              <w:top w:val="nil"/>
              <w:left w:val="nil"/>
              <w:bottom w:val="nil"/>
              <w:right w:val="nil"/>
            </w:tcBorders>
          </w:tcPr>
          <w:p>
            <w:pPr>
              <w:pStyle w:val="nTable"/>
              <w:spacing w:before="120"/>
              <w:rPr>
                <w:i/>
                <w:snapToGrid w:val="0"/>
                <w:spacing w:val="6"/>
                <w:sz w:val="19"/>
              </w:rPr>
            </w:pPr>
            <w:r>
              <w:rPr>
                <w:i/>
                <w:sz w:val="19"/>
              </w:rPr>
              <w:t>Public Transport Authority Act 2003</w:t>
            </w:r>
            <w:r>
              <w:rPr>
                <w:sz w:val="19"/>
              </w:rPr>
              <w:t xml:space="preserve"> s. 152</w:t>
            </w:r>
          </w:p>
        </w:tc>
        <w:tc>
          <w:tcPr>
            <w:tcW w:w="1134" w:type="dxa"/>
            <w:gridSpan w:val="2"/>
            <w:tcBorders>
              <w:top w:val="nil"/>
              <w:left w:val="nil"/>
              <w:bottom w:val="nil"/>
              <w:right w:val="nil"/>
            </w:tcBorders>
          </w:tcPr>
          <w:p>
            <w:pPr>
              <w:pStyle w:val="nTable"/>
              <w:spacing w:before="120"/>
              <w:rPr>
                <w:snapToGrid w:val="0"/>
                <w:sz w:val="19"/>
              </w:rPr>
            </w:pPr>
            <w:r>
              <w:rPr>
                <w:sz w:val="19"/>
              </w:rPr>
              <w:t>31 of 2003</w:t>
            </w:r>
          </w:p>
        </w:tc>
        <w:tc>
          <w:tcPr>
            <w:tcW w:w="1134" w:type="dxa"/>
            <w:gridSpan w:val="2"/>
            <w:tcBorders>
              <w:top w:val="nil"/>
              <w:left w:val="nil"/>
              <w:bottom w:val="nil"/>
              <w:right w:val="nil"/>
            </w:tcBorders>
          </w:tcPr>
          <w:p>
            <w:pPr>
              <w:pStyle w:val="nTable"/>
              <w:spacing w:before="120"/>
              <w:rPr>
                <w:sz w:val="19"/>
              </w:rPr>
            </w:pPr>
            <w:r>
              <w:rPr>
                <w:sz w:val="19"/>
              </w:rPr>
              <w:t>26 May 2003</w:t>
            </w:r>
          </w:p>
        </w:tc>
        <w:tc>
          <w:tcPr>
            <w:tcW w:w="2524" w:type="dxa"/>
            <w:tcBorders>
              <w:top w:val="nil"/>
              <w:left w:val="nil"/>
              <w:bottom w:val="nil"/>
              <w:right w:val="nil"/>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96" w:type="dxa"/>
            <w:gridSpan w:val="2"/>
            <w:tcBorders>
              <w:top w:val="nil"/>
              <w:left w:val="nil"/>
              <w:bottom w:val="nil"/>
              <w:right w:val="nil"/>
            </w:tcBorders>
          </w:tcPr>
          <w:p>
            <w:pPr>
              <w:pStyle w:val="nTable"/>
              <w:spacing w:before="120"/>
              <w:rPr>
                <w:i/>
                <w:sz w:val="19"/>
              </w:rPr>
            </w:pPr>
            <w:r>
              <w:rPr>
                <w:i/>
                <w:sz w:val="19"/>
              </w:rPr>
              <w:t>Economic Regulation Authority Act 2003</w:t>
            </w:r>
            <w:r>
              <w:rPr>
                <w:sz w:val="19"/>
              </w:rPr>
              <w:t xml:space="preserve"> s. 62</w:t>
            </w:r>
            <w:r>
              <w:rPr>
                <w:sz w:val="19"/>
                <w:vertAlign w:val="superscript"/>
              </w:rPr>
              <w:t> 4</w:t>
            </w:r>
          </w:p>
        </w:tc>
        <w:tc>
          <w:tcPr>
            <w:tcW w:w="1134" w:type="dxa"/>
            <w:gridSpan w:val="2"/>
            <w:tcBorders>
              <w:top w:val="nil"/>
              <w:left w:val="nil"/>
              <w:bottom w:val="nil"/>
              <w:right w:val="nil"/>
            </w:tcBorders>
          </w:tcPr>
          <w:p>
            <w:pPr>
              <w:pStyle w:val="nTable"/>
              <w:spacing w:before="120"/>
              <w:rPr>
                <w:sz w:val="19"/>
              </w:rPr>
            </w:pPr>
            <w:r>
              <w:rPr>
                <w:sz w:val="19"/>
              </w:rPr>
              <w:t>67 of 2003</w:t>
            </w:r>
          </w:p>
        </w:tc>
        <w:tc>
          <w:tcPr>
            <w:tcW w:w="1134" w:type="dxa"/>
            <w:gridSpan w:val="2"/>
            <w:tcBorders>
              <w:top w:val="nil"/>
              <w:left w:val="nil"/>
              <w:bottom w:val="nil"/>
              <w:right w:val="nil"/>
            </w:tcBorders>
          </w:tcPr>
          <w:p>
            <w:pPr>
              <w:pStyle w:val="nTable"/>
              <w:spacing w:before="120"/>
              <w:rPr>
                <w:sz w:val="19"/>
              </w:rPr>
            </w:pPr>
            <w:r>
              <w:rPr>
                <w:sz w:val="19"/>
              </w:rPr>
              <w:t>5 Dec 2003</w:t>
            </w:r>
          </w:p>
        </w:tc>
        <w:tc>
          <w:tcPr>
            <w:tcW w:w="2524" w:type="dxa"/>
            <w:tcBorders>
              <w:top w:val="nil"/>
              <w:left w:val="nil"/>
              <w:bottom w:val="nil"/>
              <w:right w:val="nil"/>
            </w:tcBorders>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96" w:type="dxa"/>
            <w:gridSpan w:val="2"/>
            <w:tcBorders>
              <w:top w:val="nil"/>
              <w:left w:val="nil"/>
              <w:bottom w:val="single" w:sz="4" w:space="0" w:color="auto"/>
              <w:right w:val="nil"/>
            </w:tcBorders>
          </w:tcPr>
          <w:p>
            <w:pPr>
              <w:pStyle w:val="nTable"/>
              <w:spacing w:before="120"/>
              <w:rPr>
                <w:iCs/>
                <w:sz w:val="19"/>
              </w:rPr>
            </w:pPr>
            <w:r>
              <w:rPr>
                <w:i/>
                <w:sz w:val="19"/>
              </w:rPr>
              <w:t>Railway and Port (The Pilbara Infrastructure Pty Ltd) Agreement Act 2004</w:t>
            </w:r>
            <w:r>
              <w:rPr>
                <w:iCs/>
                <w:sz w:val="19"/>
              </w:rPr>
              <w:t xml:space="preserve"> Pt. 3 Div. 1</w:t>
            </w:r>
          </w:p>
        </w:tc>
        <w:tc>
          <w:tcPr>
            <w:tcW w:w="1134" w:type="dxa"/>
            <w:gridSpan w:val="2"/>
            <w:tcBorders>
              <w:top w:val="nil"/>
              <w:left w:val="nil"/>
              <w:bottom w:val="single" w:sz="4" w:space="0" w:color="auto"/>
              <w:right w:val="nil"/>
            </w:tcBorders>
          </w:tcPr>
          <w:p>
            <w:pPr>
              <w:pStyle w:val="nTable"/>
              <w:spacing w:before="120"/>
              <w:rPr>
                <w:sz w:val="19"/>
              </w:rPr>
            </w:pPr>
            <w:r>
              <w:rPr>
                <w:sz w:val="19"/>
              </w:rPr>
              <w:t>77 of 2004</w:t>
            </w:r>
          </w:p>
        </w:tc>
        <w:tc>
          <w:tcPr>
            <w:tcW w:w="1134" w:type="dxa"/>
            <w:gridSpan w:val="2"/>
            <w:tcBorders>
              <w:top w:val="nil"/>
              <w:left w:val="nil"/>
              <w:bottom w:val="single" w:sz="4" w:space="0" w:color="auto"/>
              <w:right w:val="nil"/>
            </w:tcBorders>
          </w:tcPr>
          <w:p>
            <w:pPr>
              <w:pStyle w:val="nTable"/>
              <w:spacing w:before="120"/>
              <w:rPr>
                <w:sz w:val="19"/>
              </w:rPr>
            </w:pPr>
            <w:r>
              <w:rPr>
                <w:sz w:val="19"/>
              </w:rPr>
              <w:t>8 Dec 2004</w:t>
            </w:r>
          </w:p>
        </w:tc>
        <w:tc>
          <w:tcPr>
            <w:tcW w:w="2524" w:type="dxa"/>
            <w:tcBorders>
              <w:top w:val="nil"/>
              <w:left w:val="nil"/>
              <w:bottom w:val="single" w:sz="4" w:space="0" w:color="auto"/>
              <w:right w:val="nil"/>
            </w:tcBorders>
          </w:tcPr>
          <w:p>
            <w:pPr>
              <w:pStyle w:val="nTable"/>
              <w:spacing w:before="120"/>
              <w:rPr>
                <w:sz w:val="19"/>
              </w:rPr>
            </w:pPr>
            <w:r>
              <w:rPr>
                <w:sz w:val="19"/>
              </w:rPr>
              <w:t xml:space="preserve">1 Jul 2008 (see s. 2(2) and </w:t>
            </w:r>
            <w:r>
              <w:rPr>
                <w:i/>
                <w:iCs/>
                <w:sz w:val="19"/>
              </w:rPr>
              <w:t>Gazette</w:t>
            </w:r>
            <w:r>
              <w:rPr>
                <w:sz w:val="19"/>
              </w:rPr>
              <w:t xml:space="preserve"> 17 Jun 2008 p. 2543)</w:t>
            </w:r>
          </w:p>
        </w:tc>
      </w:tr>
    </w:tbl>
    <w:p>
      <w:pPr>
        <w:pStyle w:val="nSubsection"/>
      </w:pPr>
      <w:r>
        <w:rPr>
          <w:vertAlign w:val="superscript"/>
        </w:rPr>
        <w:t>2</w:t>
      </w:r>
      <w:r>
        <w:rPr>
          <w:vertAlign w:val="superscript"/>
        </w:rPr>
        <w:tab/>
      </w:r>
      <w:r>
        <w:t xml:space="preserve">Now known as the </w:t>
      </w:r>
      <w:r>
        <w:rPr>
          <w:i/>
        </w:rPr>
        <w:t>Railways (Access) Act 1998</w:t>
      </w:r>
      <w:r>
        <w:t>; short title changed (see note under s. 1).</w:t>
      </w:r>
    </w:p>
    <w:p>
      <w:pPr>
        <w:pStyle w:val="nSubsection"/>
      </w:pPr>
      <w:r>
        <w:rPr>
          <w:vertAlign w:val="superscript"/>
        </w:rPr>
        <w:t>3</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 xml:space="preserve"> “</w:t>
      </w:r>
    </w:p>
    <w:p>
      <w:pPr>
        <w:pStyle w:val="nzHeading3"/>
      </w:pPr>
      <w:bookmarkStart w:id="332" w:name="_Toc26174504"/>
      <w:bookmarkStart w:id="333" w:name="_Toc26177398"/>
      <w:bookmarkStart w:id="334" w:name="_Toc58032168"/>
      <w:r>
        <w:rPr>
          <w:rStyle w:val="CharSchNo"/>
        </w:rPr>
        <w:t>Schedule 3</w:t>
      </w:r>
      <w:r>
        <w:t> — </w:t>
      </w:r>
      <w:r>
        <w:rPr>
          <w:rStyle w:val="CharSchText"/>
        </w:rPr>
        <w:t>Transitional and saving provisions for amendments in Schedule 2 Divisions 8, 12 and 18</w:t>
      </w:r>
      <w:bookmarkEnd w:id="332"/>
      <w:bookmarkEnd w:id="333"/>
      <w:bookmarkEnd w:id="334"/>
    </w:p>
    <w:p>
      <w:pPr>
        <w:pStyle w:val="yShoulderClause"/>
      </w:pPr>
      <w:r>
        <w:t>[s. 63(1)]</w:t>
      </w:r>
    </w:p>
    <w:p>
      <w:pPr>
        <w:pStyle w:val="nzHeading5"/>
      </w:pPr>
      <w:bookmarkStart w:id="335" w:name="_Toc12070351"/>
      <w:bookmarkStart w:id="336" w:name="_Toc58032169"/>
      <w:r>
        <w:t>1.</w:t>
      </w:r>
      <w:r>
        <w:tab/>
        <w:t>Definitions</w:t>
      </w:r>
      <w:bookmarkEnd w:id="335"/>
      <w:bookmarkEnd w:id="336"/>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37" w:name="_Toc12070352"/>
      <w:bookmarkStart w:id="338" w:name="_Toc58032170"/>
      <w:r>
        <w:t>2.</w:t>
      </w:r>
      <w:r>
        <w:tab/>
      </w:r>
      <w:r>
        <w:rPr>
          <w:i/>
        </w:rPr>
        <w:t>Interpretation Act 1984</w:t>
      </w:r>
      <w:r>
        <w:t xml:space="preserve"> to apply</w:t>
      </w:r>
      <w:bookmarkEnd w:id="337"/>
      <w:bookmarkEnd w:id="338"/>
    </w:p>
    <w:p>
      <w:pPr>
        <w:pStyle w:val="nzSubsection"/>
      </w:pPr>
      <w:r>
        <w:tab/>
      </w:r>
      <w:r>
        <w:tab/>
        <w:t xml:space="preserve">This Schedule does not limit the operation of the </w:t>
      </w:r>
      <w:r>
        <w:rPr>
          <w:i/>
        </w:rPr>
        <w:t>Interpretation Act 1984</w:t>
      </w:r>
      <w:r>
        <w:t>.</w:t>
      </w:r>
    </w:p>
    <w:p>
      <w:pPr>
        <w:pStyle w:val="nzHeading5"/>
      </w:pPr>
      <w:bookmarkStart w:id="339" w:name="_Toc58032171"/>
      <w:r>
        <w:t>3.</w:t>
      </w:r>
      <w:r>
        <w:tab/>
        <w:t>Decisions of Gas Pipelines Access Regulator</w:t>
      </w:r>
      <w:bookmarkEnd w:id="33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40" w:name="_Toc58032172"/>
      <w:r>
        <w:t>4.</w:t>
      </w:r>
      <w:r>
        <w:tab/>
        <w:t>Decisions of Rail Access Regulator</w:t>
      </w:r>
      <w:bookmarkEnd w:id="34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41" w:name="_Toc58032173"/>
      <w:r>
        <w:t>5.</w:t>
      </w:r>
      <w:r>
        <w:tab/>
        <w:t xml:space="preserve">Licences under Part 3 of the </w:t>
      </w:r>
      <w:r>
        <w:rPr>
          <w:i/>
        </w:rPr>
        <w:t>Water Services Coordination Act 1995</w:t>
      </w:r>
      <w:bookmarkEnd w:id="34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42" w:name="_Toc58032174"/>
      <w:r>
        <w:t>6.</w:t>
      </w:r>
      <w:r>
        <w:tab/>
        <w:t>Continuing effect of things done</w:t>
      </w:r>
      <w:bookmarkEnd w:id="34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43" w:name="_Toc58032175"/>
      <w:r>
        <w:t>7.</w:t>
      </w:r>
      <w:r>
        <w:tab/>
        <w:t>Completion of things begun</w:t>
      </w:r>
      <w:bookmarkEnd w:id="34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44" w:name="_Toc58032176"/>
      <w:r>
        <w:t>8.</w:t>
      </w:r>
      <w:r>
        <w:tab/>
        <w:t>Proceedings etc.</w:t>
      </w:r>
      <w:bookmarkEnd w:id="34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45" w:name="_Toc58032177"/>
      <w:r>
        <w:t>9.</w:t>
      </w:r>
      <w:r>
        <w:tab/>
        <w:t>Records</w:t>
      </w:r>
      <w:bookmarkEnd w:id="34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46" w:name="_Toc58032178"/>
      <w:r>
        <w:t>10.</w:t>
      </w:r>
      <w:r>
        <w:tab/>
        <w:t>Bank accounts</w:t>
      </w:r>
      <w:bookmarkEnd w:id="346"/>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47" w:name="_Hlt17789400"/>
      <w:r>
        <w:t> </w:t>
      </w:r>
      <w:bookmarkEnd w:id="34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48" w:name="_Toc12070355"/>
      <w:bookmarkStart w:id="349" w:name="_Toc58032179"/>
      <w:r>
        <w:t>11.</w:t>
      </w:r>
      <w:r>
        <w:tab/>
        <w:t>References to former official in agreements and instruments</w:t>
      </w:r>
      <w:bookmarkEnd w:id="348"/>
      <w:bookmarkEnd w:id="34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50" w:name="_Toc12070356"/>
      <w:bookmarkStart w:id="351" w:name="_Toc58032180"/>
      <w:r>
        <w:t>12.</w:t>
      </w:r>
      <w:r>
        <w:tab/>
        <w:t>References to former official in written law</w:t>
      </w:r>
      <w:bookmarkEnd w:id="350"/>
      <w:bookmarkEnd w:id="35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52" w:name="_Toc12070359"/>
      <w:bookmarkStart w:id="353" w:name="_Toc58032181"/>
      <w:r>
        <w:t>13.</w:t>
      </w:r>
      <w:r>
        <w:tab/>
        <w:t>Immunity</w:t>
      </w:r>
      <w:bookmarkEnd w:id="352"/>
      <w:r>
        <w:t xml:space="preserve"> to continue</w:t>
      </w:r>
      <w:bookmarkEnd w:id="35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354" w:name="_Toc12070362"/>
      <w:bookmarkStart w:id="355" w:name="_Toc58032182"/>
      <w:r>
        <w:t>14.</w:t>
      </w:r>
      <w:r>
        <w:tab/>
        <w:t>Saving</w:t>
      </w:r>
      <w:bookmarkEnd w:id="354"/>
      <w:bookmarkEnd w:id="35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04"/>
    <w:docVar w:name="WAFER_20151209115604" w:val="RemoveTrackChanges"/>
    <w:docVar w:name="WAFER_20151209115604_GUID" w:val="31bf0432-8cd0-4b01-9f44-7f03af78e6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7309</Words>
  <Characters>35087</Characters>
  <Application>Microsoft Office Word</Application>
  <DocSecurity>0</DocSecurity>
  <Lines>1002</Lines>
  <Paragraphs>623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vector>
  </TitlesOfParts>
  <Manager/>
  <Company/>
  <LinksUpToDate>false</LinksUpToDate>
  <CharactersWithSpaces>41773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1998 - 02-f0-02</dc:title>
  <dc:subject/>
  <dc:creator/>
  <cp:keywords/>
  <dc:description/>
  <cp:lastModifiedBy>svcMRProcess</cp:lastModifiedBy>
  <cp:revision>4</cp:revision>
  <cp:lastPrinted>2001-10-16T04:07:00Z</cp:lastPrinted>
  <dcterms:created xsi:type="dcterms:W3CDTF">2018-09-07T17:59:00Z</dcterms:created>
  <dcterms:modified xsi:type="dcterms:W3CDTF">2018-09-07T17:59:00Z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1907</vt:i4>
  </property>
  <property fmtid="{D5CDD505-2E9C-101B-9397-08002B2CF9AE}" pid="6" name="AsAtDate">
    <vt:lpwstr>01 Jul 2008</vt:lpwstr>
  </property>
  <property fmtid="{D5CDD505-2E9C-101B-9397-08002B2CF9AE}" pid="7" name="Suffix">
    <vt:lpwstr>02-f0-02</vt:lpwstr>
  </property>
</Properties>
</file>