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Energy Coordination Act 1994</w:t>
      </w:r>
    </w:p>
    <w:p>
      <w:pPr>
        <w:pStyle w:val="NameofActRegPage1"/>
        <w:spacing w:before="1800" w:after="4200"/>
      </w:pPr>
      <w:r>
        <w:fldChar w:fldCharType="begin"/>
      </w:r>
      <w:r>
        <w:instrText xml:space="preserve"> STYLEREF "Name Of Act/Reg"</w:instrText>
      </w:r>
      <w:r>
        <w:fldChar w:fldCharType="separate"/>
      </w:r>
      <w:r>
        <w:rPr>
          <w:noProof/>
        </w:rPr>
        <w:t>Energy Coordination (Gas Tariffs)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_Toc202505205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_Toc202505206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Areas to which regulations apply</w:t>
      </w:r>
      <w:r>
        <w:rPr>
          <w:noProof/>
        </w:rPr>
        <w:tab/>
      </w:r>
      <w:r>
        <w:rPr>
          <w:noProof/>
        </w:rPr>
        <w:fldChar w:fldCharType="begin"/>
      </w:r>
      <w:r>
        <w:rPr>
          <w:noProof/>
        </w:rPr>
        <w:instrText xml:space="preserve"> PAGEREF _Toc202505207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_Toc202505208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Supplier to have at least one capped tariff</w:t>
      </w:r>
      <w:r>
        <w:rPr>
          <w:noProof/>
        </w:rPr>
        <w:tab/>
      </w:r>
      <w:r>
        <w:rPr>
          <w:noProof/>
        </w:rPr>
        <w:fldChar w:fldCharType="begin"/>
      </w:r>
      <w:r>
        <w:rPr>
          <w:noProof/>
        </w:rPr>
        <w:instrText xml:space="preserve"> PAGEREF _Toc202505209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Gas to be offered under standard contract at capped tariff</w:t>
      </w:r>
      <w:r>
        <w:rPr>
          <w:noProof/>
        </w:rPr>
        <w:tab/>
      </w:r>
      <w:r>
        <w:rPr>
          <w:noProof/>
        </w:rPr>
        <w:fldChar w:fldCharType="begin"/>
      </w:r>
      <w:r>
        <w:rPr>
          <w:noProof/>
        </w:rPr>
        <w:instrText xml:space="preserve"> PAGEREF _Toc202505210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Calculation of amounts</w:t>
      </w:r>
      <w:r>
        <w:rPr>
          <w:noProof/>
        </w:rPr>
        <w:tab/>
      </w:r>
      <w:r>
        <w:rPr>
          <w:noProof/>
        </w:rPr>
        <w:fldChar w:fldCharType="begin"/>
      </w:r>
      <w:r>
        <w:rPr>
          <w:noProof/>
        </w:rPr>
        <w:instrText xml:space="preserve"> PAGEREF _Toc202505211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1 — Tariff caps</w:t>
      </w:r>
      <w:r>
        <w:rPr>
          <w:noProof/>
        </w:rPr>
        <w:tab/>
      </w:r>
      <w:r>
        <w:rPr>
          <w:noProof/>
        </w:rPr>
        <w:fldChar w:fldCharType="begin"/>
      </w:r>
      <w:r>
        <w:rPr>
          <w:noProof/>
        </w:rPr>
        <w:instrText xml:space="preserve"> PAGEREF _Toc202505212 \h </w:instrText>
      </w:r>
      <w:r>
        <w:rPr>
          <w:noProof/>
        </w:rPr>
      </w:r>
      <w:r>
        <w:rPr>
          <w:noProof/>
        </w:rPr>
        <w:fldChar w:fldCharType="separate"/>
      </w:r>
      <w:r>
        <w:rPr>
          <w:noProof/>
        </w:rPr>
        <w:t>5</w:t>
      </w:r>
      <w:r>
        <w:rPr>
          <w:noProof/>
        </w:rPr>
        <w:fldChar w:fldCharType="end"/>
      </w:r>
    </w:p>
    <w:p>
      <w:pPr>
        <w:pStyle w:val="TOC7"/>
        <w:rPr>
          <w:noProof/>
          <w:sz w:val="24"/>
          <w:szCs w:val="24"/>
        </w:rPr>
      </w:pPr>
      <w:r>
        <w:rPr>
          <w:noProof/>
          <w:szCs w:val="28"/>
        </w:rPr>
        <w:t>Part 1 — Mid</w:t>
      </w:r>
      <w:r>
        <w:rPr>
          <w:noProof/>
          <w:szCs w:val="28"/>
        </w:rPr>
        <w:noBreakHyphen/>
        <w:t>West/South</w:t>
      </w:r>
      <w:r>
        <w:rPr>
          <w:noProof/>
          <w:szCs w:val="28"/>
        </w:rPr>
        <w:noBreakHyphen/>
        <w:t>West area</w:t>
      </w:r>
      <w:r>
        <w:rPr>
          <w:noProof/>
        </w:rPr>
        <w:tab/>
      </w:r>
      <w:r>
        <w:rPr>
          <w:noProof/>
        </w:rPr>
        <w:fldChar w:fldCharType="begin"/>
      </w:r>
      <w:r>
        <w:rPr>
          <w:noProof/>
        </w:rPr>
        <w:instrText xml:space="preserve"> PAGEREF _Toc202505213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Residential tariff</w:t>
      </w:r>
      <w:r>
        <w:rPr>
          <w:noProof/>
        </w:rPr>
        <w:tab/>
      </w:r>
      <w:r>
        <w:rPr>
          <w:noProof/>
        </w:rPr>
        <w:fldChar w:fldCharType="begin"/>
      </w:r>
      <w:r>
        <w:rPr>
          <w:noProof/>
        </w:rPr>
        <w:instrText xml:space="preserve"> PAGEREF _Toc202505214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Non</w:t>
      </w:r>
      <w:r>
        <w:rPr>
          <w:noProof/>
          <w:szCs w:val="22"/>
        </w:rPr>
        <w:noBreakHyphen/>
        <w:t>residential tariff</w:t>
      </w:r>
      <w:r>
        <w:rPr>
          <w:noProof/>
        </w:rPr>
        <w:tab/>
      </w:r>
      <w:r>
        <w:rPr>
          <w:noProof/>
        </w:rPr>
        <w:fldChar w:fldCharType="begin"/>
      </w:r>
      <w:r>
        <w:rPr>
          <w:noProof/>
        </w:rPr>
        <w:instrText xml:space="preserve"> PAGEREF _Toc202505215 \h </w:instrText>
      </w:r>
      <w:r>
        <w:rPr>
          <w:noProof/>
        </w:rPr>
      </w:r>
      <w:r>
        <w:rPr>
          <w:noProof/>
        </w:rPr>
        <w:fldChar w:fldCharType="separate"/>
      </w:r>
      <w:r>
        <w:rPr>
          <w:noProof/>
        </w:rPr>
        <w:t>5</w:t>
      </w:r>
      <w:r>
        <w:rPr>
          <w:noProof/>
        </w:rPr>
        <w:fldChar w:fldCharType="end"/>
      </w:r>
    </w:p>
    <w:p>
      <w:pPr>
        <w:pStyle w:val="TOC7"/>
        <w:rPr>
          <w:noProof/>
          <w:sz w:val="24"/>
          <w:szCs w:val="24"/>
        </w:rPr>
      </w:pPr>
      <w:r>
        <w:rPr>
          <w:noProof/>
          <w:szCs w:val="28"/>
        </w:rPr>
        <w:t>Part 2 — Albany area</w:t>
      </w:r>
      <w:r>
        <w:rPr>
          <w:noProof/>
        </w:rPr>
        <w:tab/>
      </w:r>
      <w:r>
        <w:rPr>
          <w:noProof/>
        </w:rPr>
        <w:fldChar w:fldCharType="begin"/>
      </w:r>
      <w:r>
        <w:rPr>
          <w:noProof/>
        </w:rPr>
        <w:instrText xml:space="preserve"> PAGEREF _Toc202505216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Residential tariff</w:t>
      </w:r>
      <w:r>
        <w:rPr>
          <w:noProof/>
        </w:rPr>
        <w:tab/>
      </w:r>
      <w:r>
        <w:rPr>
          <w:noProof/>
        </w:rPr>
        <w:fldChar w:fldCharType="begin"/>
      </w:r>
      <w:r>
        <w:rPr>
          <w:noProof/>
        </w:rPr>
        <w:instrText xml:space="preserve"> PAGEREF _Toc202505217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Non</w:t>
      </w:r>
      <w:r>
        <w:rPr>
          <w:noProof/>
          <w:szCs w:val="22"/>
        </w:rPr>
        <w:noBreakHyphen/>
        <w:t>residential tariff</w:t>
      </w:r>
      <w:r>
        <w:rPr>
          <w:noProof/>
        </w:rPr>
        <w:tab/>
      </w:r>
      <w:r>
        <w:rPr>
          <w:noProof/>
        </w:rPr>
        <w:fldChar w:fldCharType="begin"/>
      </w:r>
      <w:r>
        <w:rPr>
          <w:noProof/>
        </w:rPr>
        <w:instrText xml:space="preserve"> PAGEREF _Toc202505218 \h </w:instrText>
      </w:r>
      <w:r>
        <w:rPr>
          <w:noProof/>
        </w:rPr>
      </w:r>
      <w:r>
        <w:rPr>
          <w:noProof/>
        </w:rPr>
        <w:fldChar w:fldCharType="separate"/>
      </w:r>
      <w:r>
        <w:rPr>
          <w:noProof/>
        </w:rPr>
        <w:t>6</w:t>
      </w:r>
      <w:r>
        <w:rPr>
          <w:noProof/>
        </w:rPr>
        <w:fldChar w:fldCharType="end"/>
      </w:r>
    </w:p>
    <w:p>
      <w:pPr>
        <w:pStyle w:val="TOC7"/>
        <w:rPr>
          <w:noProof/>
          <w:sz w:val="24"/>
          <w:szCs w:val="24"/>
        </w:rPr>
      </w:pPr>
      <w:r>
        <w:rPr>
          <w:noProof/>
          <w:szCs w:val="28"/>
        </w:rPr>
        <w:t>Part 3 — Kalgoorlie</w:t>
      </w:r>
      <w:r>
        <w:rPr>
          <w:noProof/>
          <w:szCs w:val="28"/>
        </w:rPr>
        <w:noBreakHyphen/>
        <w:t>Boulder area</w:t>
      </w:r>
      <w:r>
        <w:rPr>
          <w:noProof/>
        </w:rPr>
        <w:tab/>
      </w:r>
      <w:r>
        <w:rPr>
          <w:noProof/>
        </w:rPr>
        <w:fldChar w:fldCharType="begin"/>
      </w:r>
      <w:r>
        <w:rPr>
          <w:noProof/>
        </w:rPr>
        <w:instrText xml:space="preserve"> PAGEREF _Toc202505219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Residential tariff</w:t>
      </w:r>
      <w:r>
        <w:rPr>
          <w:noProof/>
        </w:rPr>
        <w:tab/>
      </w:r>
      <w:r>
        <w:rPr>
          <w:noProof/>
        </w:rPr>
        <w:fldChar w:fldCharType="begin"/>
      </w:r>
      <w:r>
        <w:rPr>
          <w:noProof/>
        </w:rPr>
        <w:instrText xml:space="preserve"> PAGEREF _Toc202505220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Non</w:t>
      </w:r>
      <w:r>
        <w:rPr>
          <w:noProof/>
          <w:szCs w:val="22"/>
        </w:rPr>
        <w:noBreakHyphen/>
        <w:t>residential tariff</w:t>
      </w:r>
      <w:r>
        <w:rPr>
          <w:noProof/>
        </w:rPr>
        <w:tab/>
      </w:r>
      <w:r>
        <w:rPr>
          <w:noProof/>
        </w:rPr>
        <w:fldChar w:fldCharType="begin"/>
      </w:r>
      <w:r>
        <w:rPr>
          <w:noProof/>
        </w:rPr>
        <w:instrText xml:space="preserve"> PAGEREF _Toc202505221 \h </w:instrText>
      </w:r>
      <w:r>
        <w:rPr>
          <w:noProof/>
        </w:rPr>
      </w:r>
      <w:r>
        <w:rPr>
          <w:noProof/>
        </w:rPr>
        <w:fldChar w:fldCharType="separate"/>
      </w:r>
      <w:r>
        <w:rPr>
          <w:noProof/>
        </w:rPr>
        <w:t>7</w:t>
      </w:r>
      <w:r>
        <w:rPr>
          <w:noProof/>
        </w:rPr>
        <w:fldChar w:fldCharType="end"/>
      </w:r>
    </w:p>
    <w:p>
      <w:pPr>
        <w:pStyle w:val="TOC7"/>
        <w:rPr>
          <w:noProof/>
          <w:sz w:val="24"/>
          <w:szCs w:val="24"/>
        </w:rPr>
      </w:pPr>
      <w:r>
        <w:rPr>
          <w:noProof/>
          <w:szCs w:val="28"/>
        </w:rPr>
        <w:t>Part 4 — Adjustment of certain tariff caps</w:t>
      </w:r>
      <w:r>
        <w:rPr>
          <w:noProof/>
        </w:rPr>
        <w:tab/>
      </w:r>
      <w:r>
        <w:rPr>
          <w:noProof/>
        </w:rPr>
        <w:fldChar w:fldCharType="begin"/>
      </w:r>
      <w:r>
        <w:rPr>
          <w:noProof/>
        </w:rPr>
        <w:instrText xml:space="preserve"> PAGEREF _Toc202505222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Meaning of “CPI number”</w:t>
      </w:r>
      <w:r>
        <w:rPr>
          <w:noProof/>
        </w:rPr>
        <w:tab/>
      </w:r>
      <w:r>
        <w:rPr>
          <w:noProof/>
        </w:rPr>
        <w:fldChar w:fldCharType="begin"/>
      </w:r>
      <w:r>
        <w:rPr>
          <w:noProof/>
        </w:rPr>
        <w:instrText xml:space="preserve"> PAGEREF _Toc202505223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Adjustment of rates generally for 2009/10 financial year and thereafter</w:t>
      </w:r>
      <w:r>
        <w:rPr>
          <w:noProof/>
        </w:rPr>
        <w:tab/>
      </w:r>
      <w:r>
        <w:rPr>
          <w:noProof/>
        </w:rPr>
        <w:fldChar w:fldCharType="begin"/>
      </w:r>
      <w:r>
        <w:rPr>
          <w:noProof/>
        </w:rPr>
        <w:instrText xml:space="preserve"> PAGEREF _Toc202505224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2"/>
        </w:rPr>
        <w:lastRenderedPageBreak/>
        <w:t>9.</w:t>
      </w:r>
      <w:r>
        <w:rPr>
          <w:noProof/>
          <w:sz w:val="24"/>
          <w:szCs w:val="24"/>
        </w:rPr>
        <w:tab/>
      </w:r>
      <w:r>
        <w:rPr>
          <w:noProof/>
          <w:szCs w:val="22"/>
        </w:rPr>
        <w:t>Special adjustment for residential tariffs in Mid West/South West Area</w:t>
      </w:r>
      <w:r>
        <w:rPr>
          <w:noProof/>
        </w:rPr>
        <w:tab/>
      </w:r>
      <w:r>
        <w:rPr>
          <w:noProof/>
        </w:rPr>
        <w:fldChar w:fldCharType="begin"/>
      </w:r>
      <w:r>
        <w:rPr>
          <w:noProof/>
        </w:rPr>
        <w:instrText xml:space="preserve"> PAGEREF _Toc202505225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_Toc202505227 \h </w:instrText>
      </w:r>
      <w:r>
        <w:rPr>
          <w:noProof/>
        </w:rPr>
      </w:r>
      <w:r>
        <w:rPr>
          <w:noProof/>
        </w:rPr>
        <w:fldChar w:fldCharType="separate"/>
      </w:r>
      <w:r>
        <w:rPr>
          <w:noProof/>
        </w:rPr>
        <w:t>10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2" w:name="_Toc202505204"/>
      <w:r>
        <w:rPr>
          <w:rStyle w:val="CharPartNo"/>
        </w:rPr>
        <w:t>Part 1</w:t>
      </w:r>
      <w:r>
        <w:rPr>
          <w:rStyle w:val="CharDivNo"/>
        </w:rPr>
        <w:t xml:space="preserve"> </w:t>
      </w:r>
      <w:r>
        <w:t>—</w:t>
      </w:r>
      <w:r>
        <w:rPr>
          <w:rStyle w:val="CharDivText"/>
        </w:rPr>
        <w:t xml:space="preserve"> </w:t>
      </w:r>
      <w:r>
        <w:rPr>
          <w:rStyle w:val="CharPartText"/>
        </w:rPr>
        <w:t>Preliminary</w:t>
      </w:r>
      <w:bookmarkEnd w:id="2"/>
    </w:p>
    <w:p>
      <w:pPr>
        <w:pStyle w:val="Heading5"/>
      </w:pPr>
      <w:bookmarkStart w:id="3" w:name="_Toc484947032"/>
      <w:bookmarkStart w:id="4" w:name="_Toc22697744"/>
      <w:bookmarkStart w:id="5" w:name="_Toc22697819"/>
      <w:bookmarkStart w:id="6" w:name="_Toc202505205"/>
      <w:r>
        <w:rPr>
          <w:rStyle w:val="CharSectno"/>
        </w:rPr>
        <w:t>1</w:t>
      </w:r>
      <w:r>
        <w:t>.</w:t>
      </w:r>
      <w:r>
        <w:tab/>
      </w:r>
      <w:bookmarkStart w:id="7" w:name="Start_Cursor"/>
      <w:bookmarkEnd w:id="7"/>
      <w:r>
        <w:t>Citation</w:t>
      </w:r>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p>
    <w:p>
      <w:pPr>
        <w:pStyle w:val="Heading5"/>
        <w:rPr>
          <w:spacing w:val="-2"/>
        </w:rPr>
      </w:pPr>
      <w:bookmarkStart w:id="8" w:name="_Toc484947033"/>
      <w:bookmarkStart w:id="9" w:name="_Toc22697745"/>
      <w:bookmarkStart w:id="10" w:name="_Toc22697820"/>
      <w:bookmarkStart w:id="11" w:name="_Toc202505206"/>
      <w:r>
        <w:rPr>
          <w:rStyle w:val="CharSectno"/>
        </w:rPr>
        <w:t>2</w:t>
      </w:r>
      <w:r>
        <w:rPr>
          <w:spacing w:val="-2"/>
        </w:rPr>
        <w:t>.</w:t>
      </w:r>
      <w:r>
        <w:rPr>
          <w:spacing w:val="-2"/>
        </w:rPr>
        <w:tab/>
        <w:t>Commencement</w:t>
      </w:r>
      <w:bookmarkEnd w:id="8"/>
      <w:bookmarkEnd w:id="9"/>
      <w:bookmarkEnd w:id="10"/>
      <w:bookmarkEnd w:id="11"/>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t>.</w:t>
      </w:r>
    </w:p>
    <w:p>
      <w:pPr>
        <w:pStyle w:val="Heading5"/>
      </w:pPr>
      <w:bookmarkStart w:id="12" w:name="_Toc484947034"/>
      <w:bookmarkStart w:id="13" w:name="_Toc22697746"/>
      <w:bookmarkStart w:id="14" w:name="_Toc22697821"/>
      <w:bookmarkStart w:id="15" w:name="_Toc202505207"/>
      <w:r>
        <w:rPr>
          <w:rStyle w:val="CharSectno"/>
        </w:rPr>
        <w:t>3</w:t>
      </w:r>
      <w:r>
        <w:t>.</w:t>
      </w:r>
      <w:r>
        <w:tab/>
        <w:t>Areas to which regulations apply</w:t>
      </w:r>
      <w:bookmarkEnd w:id="12"/>
      <w:bookmarkEnd w:id="13"/>
      <w:bookmarkEnd w:id="14"/>
      <w:bookmarkEnd w:id="15"/>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16" w:name="_Toc484947035"/>
      <w:bookmarkStart w:id="17" w:name="_Toc22697747"/>
      <w:bookmarkStart w:id="18" w:name="_Toc22697822"/>
      <w:bookmarkStart w:id="19" w:name="_Toc202505208"/>
      <w:r>
        <w:rPr>
          <w:rStyle w:val="CharSectno"/>
        </w:rPr>
        <w:t>4</w:t>
      </w:r>
      <w:r>
        <w:t>.</w:t>
      </w:r>
      <w:r>
        <w:tab/>
        <w:t>Interpretation</w:t>
      </w:r>
      <w:bookmarkEnd w:id="16"/>
      <w:bookmarkEnd w:id="17"/>
      <w:bookmarkEnd w:id="18"/>
      <w:bookmarkEnd w:id="19"/>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“Albany area” or “Kalgoorlie</w:t>
      </w:r>
      <w:r>
        <w:noBreakHyphen/>
        <w:t>Boulder area”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“supply”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20" w:name="_Toc484947036"/>
      <w:bookmarkStart w:id="21" w:name="_Toc22697748"/>
      <w:bookmarkStart w:id="22" w:name="_Toc22697823"/>
      <w:bookmarkStart w:id="23" w:name="_Toc202505209"/>
      <w:r>
        <w:rPr>
          <w:rStyle w:val="CharSectno"/>
        </w:rPr>
        <w:t>5</w:t>
      </w:r>
      <w:r>
        <w:t>.</w:t>
      </w:r>
      <w:r>
        <w:tab/>
        <w:t>Supplier to have at least one capped tariff</w:t>
      </w:r>
      <w:bookmarkEnd w:id="20"/>
      <w:bookmarkEnd w:id="21"/>
      <w:bookmarkEnd w:id="22"/>
      <w:bookmarkEnd w:id="23"/>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24" w:name="_Hlt472841165"/>
      <w:bookmarkEnd w:id="24"/>
      <w:r>
        <w:t>(2)</w:t>
      </w:r>
      <w:r>
        <w:tab/>
      </w:r>
      <w:bookmarkStart w:id="25" w:name="_Hlt472841237"/>
      <w:bookmarkEnd w:id="25"/>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26" w:name="_Hlt476566238"/>
      <w:bookmarkEnd w:id="26"/>
      <w:r>
        <w:t>1.</w:t>
      </w:r>
    </w:p>
    <w:p>
      <w:pPr>
        <w:pStyle w:val="Footnotesection"/>
      </w:pPr>
      <w:r>
        <w:tab/>
        <w:t>[Regulation 5 amended in Gazette 18 Oct 2002 p. 5224.]</w:t>
      </w:r>
    </w:p>
    <w:p>
      <w:pPr>
        <w:pStyle w:val="Heading5"/>
      </w:pPr>
      <w:bookmarkStart w:id="27" w:name="_Toc484947037"/>
      <w:bookmarkStart w:id="28" w:name="_Toc22697749"/>
      <w:bookmarkStart w:id="29" w:name="_Toc22697824"/>
      <w:bookmarkStart w:id="30" w:name="_Toc202505210"/>
      <w:r>
        <w:rPr>
          <w:rStyle w:val="CharSectno"/>
        </w:rPr>
        <w:t>6</w:t>
      </w:r>
      <w:r>
        <w:t>.</w:t>
      </w:r>
      <w:r>
        <w:tab/>
        <w:t>Gas to be offered under standard contract at capped tariff</w:t>
      </w:r>
      <w:bookmarkEnd w:id="27"/>
      <w:bookmarkEnd w:id="28"/>
      <w:bookmarkEnd w:id="29"/>
      <w:bookmarkEnd w:id="30"/>
    </w:p>
    <w:p>
      <w:pPr>
        <w:pStyle w:val="Ednotesubsection"/>
      </w:pPr>
      <w:r>
        <w:tab/>
        <w:t>[(1)</w:t>
      </w:r>
      <w:r>
        <w:tab/>
        <w:t>repealed]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31" w:name="_Toc484947038"/>
      <w:bookmarkStart w:id="32" w:name="_Toc22697750"/>
      <w:bookmarkStart w:id="33" w:name="_Toc22697825"/>
      <w:bookmarkStart w:id="34" w:name="_Toc202505211"/>
      <w:r>
        <w:rPr>
          <w:rStyle w:val="CharSectno"/>
        </w:rPr>
        <w:t>7</w:t>
      </w:r>
      <w:r>
        <w:t>.</w:t>
      </w:r>
      <w:r>
        <w:tab/>
        <w:t>Calculation of amounts</w:t>
      </w:r>
      <w:bookmarkEnd w:id="31"/>
      <w:bookmarkEnd w:id="32"/>
      <w:bookmarkEnd w:id="33"/>
      <w:bookmarkEnd w:id="3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Repealed in Gazette 30 Jun 2008 p. 3133.]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202505212"/>
      <w:r>
        <w:rPr>
          <w:rStyle w:val="CharSchNo"/>
        </w:rPr>
        <w:t>Schedule 1</w:t>
      </w:r>
      <w:r>
        <w:t xml:space="preserve"> — </w:t>
      </w:r>
      <w:r>
        <w:rPr>
          <w:rStyle w:val="CharSchText"/>
        </w:rPr>
        <w:t>Tariff caps</w:t>
      </w:r>
      <w:bookmarkEnd w:id="35"/>
    </w:p>
    <w:p>
      <w:pPr>
        <w:pStyle w:val="yShoulderClause"/>
      </w:pPr>
      <w:r>
        <w:t>[r. 5(2)]</w:t>
      </w:r>
    </w:p>
    <w:p>
      <w:pPr>
        <w:pStyle w:val="yHeading2"/>
        <w:rPr>
          <w:rStyle w:val="CharPartText"/>
        </w:rPr>
      </w:pPr>
      <w:bookmarkStart w:id="36" w:name="_Toc202505213"/>
      <w:r>
        <w:rPr>
          <w:rStyle w:val="CharPartNo"/>
        </w:rPr>
        <w:t>Part 1</w:t>
      </w:r>
      <w:r>
        <w:rPr>
          <w:rStyle w:val="CharDivNo"/>
        </w:rPr>
        <w:t xml:space="preserve"> </w:t>
      </w:r>
      <w:r>
        <w:t>—</w:t>
      </w:r>
      <w:r>
        <w:rPr>
          <w:rStyle w:val="CharDivText"/>
        </w:rPr>
        <w:t xml:space="preserve"> Mid</w:t>
      </w:r>
      <w:r>
        <w:rPr>
          <w:rStyle w:val="CharDivText"/>
        </w:rPr>
        <w:noBreakHyphen/>
        <w:t>West/South</w:t>
      </w:r>
      <w:r>
        <w:rPr>
          <w:rStyle w:val="CharDivText"/>
        </w:rPr>
        <w:noBreakHyphen/>
        <w:t>West area</w:t>
      </w:r>
      <w:bookmarkEnd w:id="36"/>
    </w:p>
    <w:p>
      <w:pPr>
        <w:pStyle w:val="yHeading5"/>
      </w:pPr>
      <w:bookmarkStart w:id="37" w:name="_Toc484947040"/>
      <w:bookmarkStart w:id="38" w:name="_Toc202505214"/>
      <w:r>
        <w:t>1.</w:t>
      </w:r>
      <w:r>
        <w:tab/>
        <w:t>Residential tariff</w:t>
      </w:r>
      <w:bookmarkEnd w:id="37"/>
      <w:bookmarkEnd w:id="38"/>
    </w:p>
    <w:p>
      <w:pPr>
        <w:pStyle w:val="ySubsection"/>
        <w:spacing w:after="80"/>
      </w:pPr>
      <w:r>
        <w:tab/>
      </w:r>
      <w:r>
        <w:tab/>
        <w:t xml:space="preserve">Under this Schedule a charge for the supply of gas for residential purposes is calculated by adding the fixed component and the usage component, each of which is calculated at the rate shown in the Table to this clause or, where applicable, that rate as adjusted under Part </w:t>
      </w:r>
      <w:bookmarkStart w:id="39" w:name="_Hlt471891727"/>
      <w:bookmarkStart w:id="40" w:name="_Hlt472825911"/>
      <w:bookmarkEnd w:id="39"/>
      <w:r>
        <w:t>4</w:t>
      </w:r>
      <w:bookmarkEnd w:id="40"/>
      <w:r>
        <w:t>.</w:t>
      </w:r>
    </w:p>
    <w:p>
      <w:pPr>
        <w:pStyle w:val="yMiscellaneousHeading"/>
        <w:spacing w:after="120"/>
        <w:rPr>
          <w:b/>
        </w:rPr>
      </w:pPr>
      <w:r>
        <w:rPr>
          <w:b/>
        </w:rPr>
        <w:t>Rates for components of 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00"/>
      </w:tblGrid>
      <w:tr>
        <w:tc>
          <w:tcPr>
            <w:tcW w:w="1843" w:type="dxa"/>
          </w:tcPr>
          <w:p>
            <w:pPr>
              <w:pStyle w:val="yTable"/>
            </w:pPr>
            <w:r>
              <w:t>Fixed component</w:t>
            </w:r>
          </w:p>
        </w:tc>
        <w:tc>
          <w:tcPr>
            <w:tcW w:w="4500" w:type="dxa"/>
          </w:tcPr>
          <w:p>
            <w:pPr>
              <w:pStyle w:val="yTable"/>
            </w:pPr>
            <w:r>
              <w:t>12.12 cents per day</w:t>
            </w:r>
          </w:p>
        </w:tc>
      </w:tr>
      <w:tr>
        <w:tc>
          <w:tcPr>
            <w:tcW w:w="1843" w:type="dxa"/>
          </w:tcPr>
          <w:p>
            <w:pPr>
              <w:pStyle w:val="yTable"/>
            </w:pPr>
            <w:r>
              <w:t>Usage component</w:t>
            </w:r>
          </w:p>
        </w:tc>
        <w:tc>
          <w:tcPr>
            <w:tcW w:w="4500" w:type="dxa"/>
          </w:tcPr>
          <w:p>
            <w:pPr>
              <w:pStyle w:val="yTable"/>
            </w:pPr>
            <w:r>
              <w:t>8.15 cents per unit for the first L units per day</w:t>
            </w:r>
          </w:p>
          <w:p>
            <w:pPr>
              <w:pStyle w:val="yTable"/>
            </w:pPr>
            <w:r>
              <w:t>7.33 cents per unit for the next M units per day</w:t>
            </w:r>
          </w:p>
          <w:p>
            <w:pPr>
              <w:pStyle w:val="yTable"/>
            </w:pPr>
            <w:r>
              <w:t>7.33 cents per unit for all additional units per day</w:t>
            </w:r>
          </w:p>
          <w:p>
            <w:pPr>
              <w:pStyle w:val="yTable"/>
            </w:pPr>
            <w:r>
              <w:t>where —</w:t>
            </w:r>
          </w:p>
          <w:p>
            <w:pPr>
              <w:pStyle w:val="yTable"/>
            </w:pPr>
            <w:r>
              <w:t>for a single dwelling supplied through a separately metered supply point —</w:t>
            </w:r>
          </w:p>
          <w:p>
            <w:pPr>
              <w:pStyle w:val="yTable"/>
            </w:pPr>
            <w:r>
              <w:t>L = 12</w:t>
            </w:r>
          </w:p>
          <w:p>
            <w:pPr>
              <w:pStyle w:val="yTable"/>
            </w:pPr>
            <w:r>
              <w:t>M = 24</w:t>
            </w:r>
          </w:p>
          <w:p>
            <w:pPr>
              <w:pStyle w:val="yTable"/>
            </w:pPr>
            <w:r>
              <w:t>for multiple dwellings supplied through a commonly metered supply point —</w:t>
            </w:r>
          </w:p>
          <w:p>
            <w:pPr>
              <w:pStyle w:val="yTable"/>
            </w:pPr>
            <w:r>
              <w:t>L = 12 + [(F</w:t>
            </w:r>
            <w:r>
              <w:noBreakHyphen/>
              <w:t xml:space="preserve">1) </w:t>
            </w:r>
            <w:r>
              <w:sym w:font="Wingdings 2" w:char="F0CE"/>
            </w:r>
            <w:r>
              <w:t xml:space="preserve"> 5]</w:t>
            </w:r>
          </w:p>
          <w:p>
            <w:pPr>
              <w:pStyle w:val="yTable"/>
            </w:pPr>
            <w:r>
              <w:t>M = 24 + [(F</w:t>
            </w:r>
            <w:r>
              <w:noBreakHyphen/>
              <w:t xml:space="preserve">1) </w:t>
            </w:r>
            <w:r>
              <w:sym w:font="Wingdings 2" w:char="F0CE"/>
            </w:r>
            <w:r>
              <w:t xml:space="preserve"> 5]</w:t>
            </w:r>
          </w:p>
          <w:p>
            <w:pPr>
              <w:pStyle w:val="yTable"/>
            </w:pPr>
            <w:r>
              <w:t>F = the number of dwellings</w:t>
            </w:r>
          </w:p>
        </w:tc>
      </w:tr>
    </w:tbl>
    <w:p>
      <w:pPr>
        <w:pStyle w:val="yFootnotesection"/>
      </w:pPr>
      <w:bookmarkStart w:id="41" w:name="_Toc484947041"/>
      <w:r>
        <w:tab/>
        <w:t>[Clause 1 amended in Gazette 30 Jun 2008 p. 3133-4.]</w:t>
      </w:r>
    </w:p>
    <w:p>
      <w:pPr>
        <w:pStyle w:val="yHeading5"/>
      </w:pPr>
      <w:bookmarkStart w:id="42" w:name="_Toc202505215"/>
      <w:r>
        <w:t>2.</w:t>
      </w:r>
      <w:r>
        <w:tab/>
        <w:t>Non</w:t>
      </w:r>
      <w:r>
        <w:noBreakHyphen/>
        <w:t>residential tariff</w:t>
      </w:r>
      <w:bookmarkEnd w:id="41"/>
      <w:bookmarkEnd w:id="4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r>
        <w:rPr>
          <w:b/>
        </w:rPr>
        <w:t>Rates for components of non</w:t>
      </w:r>
      <w:r>
        <w:rPr>
          <w:b/>
        </w:rPr>
        <w:noBreakHyphen/>
        <w:t>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00"/>
      </w:tblGrid>
      <w:tr>
        <w:tc>
          <w:tcPr>
            <w:tcW w:w="1843" w:type="dxa"/>
          </w:tcPr>
          <w:p>
            <w:pPr>
              <w:pStyle w:val="yTable"/>
              <w:keepNext/>
            </w:pPr>
            <w:r>
              <w:t>Fixed component</w:t>
            </w:r>
          </w:p>
        </w:tc>
        <w:tc>
          <w:tcPr>
            <w:tcW w:w="4500" w:type="dxa"/>
          </w:tcPr>
          <w:p>
            <w:pPr>
              <w:pStyle w:val="yTable"/>
              <w:keepNext/>
              <w:numPr>
                <w:ilvl w:val="0"/>
                <w:numId w:val="2"/>
              </w:numPr>
            </w:pPr>
            <w:r>
              <w:t>12.12 cents per day</w:t>
            </w:r>
          </w:p>
        </w:tc>
      </w:tr>
      <w:tr>
        <w:tc>
          <w:tcPr>
            <w:tcW w:w="1843" w:type="dxa"/>
          </w:tcPr>
          <w:p>
            <w:pPr>
              <w:pStyle w:val="yTable"/>
              <w:keepNext/>
            </w:pPr>
            <w:r>
              <w:t>Usage component</w:t>
            </w:r>
          </w:p>
        </w:tc>
        <w:tc>
          <w:tcPr>
            <w:tcW w:w="4500" w:type="dxa"/>
          </w:tcPr>
          <w:p>
            <w:pPr>
              <w:pStyle w:val="yTable"/>
              <w:keepNext/>
              <w:numPr>
                <w:ilvl w:val="0"/>
                <w:numId w:val="3"/>
              </w:numPr>
            </w:pPr>
            <w:r>
              <w:t>8.51 cents per unit for the</w:t>
            </w:r>
            <w:bookmarkStart w:id="43" w:name="_Hlt472129287"/>
            <w:bookmarkEnd w:id="43"/>
            <w:r>
              <w:t xml:space="preserve"> first 100 units per day</w:t>
            </w:r>
          </w:p>
          <w:p>
            <w:pPr>
              <w:pStyle w:val="yTable"/>
              <w:keepNext/>
              <w:numPr>
                <w:ilvl w:val="0"/>
                <w:numId w:val="4"/>
              </w:numPr>
            </w:pPr>
            <w:r>
              <w:t>6.77 cents per unit for all additional units per day</w:t>
            </w:r>
          </w:p>
        </w:tc>
      </w:tr>
    </w:tbl>
    <w:p>
      <w:pPr>
        <w:pStyle w:val="yFootnotesection"/>
      </w:pPr>
      <w:r>
        <w:tab/>
        <w:t>[Clause 2 amended in Gazette 30 Jun 2008 p. 3134.]</w:t>
      </w:r>
    </w:p>
    <w:p>
      <w:pPr>
        <w:pStyle w:val="yHeading2"/>
        <w:rPr>
          <w:rStyle w:val="CharPartText"/>
        </w:rPr>
      </w:pPr>
      <w:bookmarkStart w:id="44" w:name="_Toc202505216"/>
      <w:r>
        <w:rPr>
          <w:rStyle w:val="CharPartNo"/>
        </w:rPr>
        <w:t>Part 2</w:t>
      </w:r>
      <w:r>
        <w:rPr>
          <w:rStyle w:val="CharDivNo"/>
        </w:rPr>
        <w:t xml:space="preserve"> </w:t>
      </w:r>
      <w:r>
        <w:t>—</w:t>
      </w:r>
      <w:r>
        <w:rPr>
          <w:rStyle w:val="CharDivText"/>
        </w:rPr>
        <w:t xml:space="preserve"> </w:t>
      </w:r>
      <w:r>
        <w:rPr>
          <w:rStyle w:val="CharPartText"/>
        </w:rPr>
        <w:t>Albany area</w:t>
      </w:r>
      <w:bookmarkEnd w:id="44"/>
    </w:p>
    <w:p>
      <w:pPr>
        <w:pStyle w:val="yHeading5"/>
      </w:pPr>
      <w:bookmarkStart w:id="45" w:name="_Toc484947042"/>
      <w:bookmarkStart w:id="46" w:name="_Toc202505217"/>
      <w:r>
        <w:t>3.</w:t>
      </w:r>
      <w:r>
        <w:tab/>
        <w:t>Residential tariff</w:t>
      </w:r>
      <w:bookmarkEnd w:id="45"/>
      <w:bookmarkEnd w:id="46"/>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MiscellaneousHeading"/>
        <w:tabs>
          <w:tab w:val="left" w:pos="851"/>
        </w:tabs>
        <w:spacing w:before="0" w:after="120"/>
        <w:rPr>
          <w:b/>
        </w:rPr>
      </w:pPr>
      <w:bookmarkStart w:id="47" w:name="_Toc484947043"/>
      <w:r>
        <w:rPr>
          <w:b/>
        </w:rPr>
        <w:t>Rates for components of residential tariff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tblGrid>
      <w:tr>
        <w:tc>
          <w:tcPr>
            <w:tcW w:w="1276" w:type="dxa"/>
          </w:tcPr>
          <w:p>
            <w:pPr>
              <w:pStyle w:val="yTable"/>
            </w:pPr>
            <w:r>
              <w:t>Fixed component</w:t>
            </w:r>
          </w:p>
        </w:tc>
        <w:tc>
          <w:tcPr>
            <w:tcW w:w="4394" w:type="dxa"/>
          </w:tcPr>
          <w:p>
            <w:pPr>
              <w:pStyle w:val="yTable"/>
              <w:tabs>
                <w:tab w:val="left" w:pos="601"/>
                <w:tab w:val="left" w:pos="2694"/>
                <w:tab w:val="left" w:pos="2835"/>
              </w:tabs>
              <w:ind w:left="601" w:hanging="601"/>
            </w:pPr>
            <w:r>
              <w:t>(a)</w:t>
            </w:r>
            <w:r>
              <w:tab/>
              <w:t>for premises other than those described in paragraph (b), 12.73 cents per day;</w:t>
            </w:r>
          </w:p>
          <w:p>
            <w:pPr>
              <w:pStyle w:val="yTable"/>
              <w:tabs>
                <w:tab w:val="left" w:pos="885"/>
              </w:tabs>
              <w:ind w:left="601" w:hanging="601"/>
            </w:pPr>
            <w:r>
              <w:t>(b)</w:t>
            </w:r>
            <w:r>
              <w:tab/>
              <w:t xml:space="preserve">for multiple dwellings supplied through a commonly metered supply point — </w:t>
            </w:r>
          </w:p>
          <w:p>
            <w:pPr>
              <w:pStyle w:val="yTable"/>
              <w:tabs>
                <w:tab w:val="left" w:pos="743"/>
                <w:tab w:val="left" w:pos="1168"/>
              </w:tabs>
              <w:ind w:left="1168" w:hanging="1134"/>
            </w:pPr>
            <w:r>
              <w:tab/>
              <w:t>•</w:t>
            </w:r>
            <w:r>
              <w:tab/>
              <w:t>12.73 cents per day for the first dwelling;</w:t>
            </w:r>
          </w:p>
          <w:p>
            <w:pPr>
              <w:pStyle w:val="yTable"/>
              <w:tabs>
                <w:tab w:val="left" w:pos="743"/>
                <w:tab w:val="left" w:pos="1168"/>
              </w:tabs>
              <w:ind w:left="1168" w:hanging="1134"/>
            </w:pPr>
            <w:r>
              <w:tab/>
              <w:t>•</w:t>
            </w:r>
            <w:r>
              <w:tab/>
              <w:t>6.35 cents per day for each additional dwelling.</w:t>
            </w:r>
          </w:p>
        </w:tc>
      </w:tr>
      <w:tr>
        <w:tc>
          <w:tcPr>
            <w:tcW w:w="1276" w:type="dxa"/>
          </w:tcPr>
          <w:p>
            <w:pPr>
              <w:pStyle w:val="yTable"/>
            </w:pPr>
            <w:r>
              <w:t>Usage component</w:t>
            </w:r>
          </w:p>
        </w:tc>
        <w:tc>
          <w:tcPr>
            <w:tcW w:w="4394" w:type="dxa"/>
          </w:tcPr>
          <w:p>
            <w:pPr>
              <w:pStyle w:val="yTable"/>
              <w:tabs>
                <w:tab w:val="left" w:pos="459"/>
              </w:tabs>
              <w:ind w:left="494" w:hanging="494"/>
            </w:pPr>
            <w:r>
              <w:t>•</w:t>
            </w:r>
            <w:r>
              <w:tab/>
              <w:t>9.26 cents per unit</w:t>
            </w:r>
          </w:p>
        </w:tc>
      </w:tr>
    </w:tbl>
    <w:p>
      <w:pPr>
        <w:pStyle w:val="yFootnotesection"/>
      </w:pPr>
      <w:r>
        <w:tab/>
        <w:t>[Clause 3 amended in Gazette 30 Jun 2008 p. 3134.]</w:t>
      </w:r>
    </w:p>
    <w:p>
      <w:pPr>
        <w:pStyle w:val="yHeading5"/>
      </w:pPr>
      <w:bookmarkStart w:id="48" w:name="_Toc202505218"/>
      <w:r>
        <w:t>4.</w:t>
      </w:r>
      <w:r>
        <w:tab/>
        <w:t>Non</w:t>
      </w:r>
      <w:r>
        <w:noBreakHyphen/>
        <w:t>residential tariff</w:t>
      </w:r>
      <w:bookmarkEnd w:id="47"/>
      <w:bookmarkEnd w:id="4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tabs>
          <w:tab w:val="left" w:pos="851"/>
        </w:tabs>
        <w:spacing w:before="0" w:after="120"/>
        <w:rPr>
          <w:b/>
        </w:rPr>
      </w:pPr>
      <w:r>
        <w:tab/>
      </w:r>
      <w:r>
        <w:rPr>
          <w:b/>
        </w:rPr>
        <w:t>Rates for components of non</w:t>
      </w:r>
      <w:r>
        <w:rPr>
          <w:b/>
        </w:rPr>
        <w:noBreakHyphen/>
        <w:t>residential tariff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tblGrid>
      <w:tr>
        <w:tc>
          <w:tcPr>
            <w:tcW w:w="1276" w:type="dxa"/>
          </w:tcPr>
          <w:p>
            <w:pPr>
              <w:pStyle w:val="yTable"/>
            </w:pPr>
            <w:r>
              <w:t>Fixed component</w:t>
            </w:r>
          </w:p>
        </w:tc>
        <w:tc>
          <w:tcPr>
            <w:tcW w:w="4394" w:type="dxa"/>
          </w:tcPr>
          <w:p>
            <w:pPr>
              <w:pStyle w:val="yTable"/>
              <w:tabs>
                <w:tab w:val="left" w:pos="459"/>
                <w:tab w:val="left" w:pos="1168"/>
              </w:tabs>
              <w:ind w:left="1168" w:hanging="1134"/>
            </w:pPr>
            <w:r>
              <w:t>•</w:t>
            </w:r>
            <w:r>
              <w:tab/>
              <w:t>12.73 cents per day</w:t>
            </w:r>
          </w:p>
        </w:tc>
      </w:tr>
      <w:tr>
        <w:tc>
          <w:tcPr>
            <w:tcW w:w="1276" w:type="dxa"/>
          </w:tcPr>
          <w:p>
            <w:pPr>
              <w:pStyle w:val="yTable"/>
            </w:pPr>
            <w:r>
              <w:t>Usage component</w:t>
            </w:r>
          </w:p>
        </w:tc>
        <w:tc>
          <w:tcPr>
            <w:tcW w:w="4394" w:type="dxa"/>
          </w:tcPr>
          <w:p>
            <w:pPr>
              <w:pStyle w:val="yTable"/>
              <w:tabs>
                <w:tab w:val="left" w:pos="459"/>
              </w:tabs>
              <w:ind w:left="494" w:hanging="494"/>
            </w:pPr>
            <w:r>
              <w:t>•</w:t>
            </w:r>
            <w:r>
              <w:tab/>
              <w:t>9.26 cents per unit</w:t>
            </w:r>
          </w:p>
        </w:tc>
      </w:tr>
    </w:tbl>
    <w:p>
      <w:pPr>
        <w:pStyle w:val="yFootnotesection"/>
      </w:pPr>
      <w:r>
        <w:tab/>
        <w:t>[Clause 4 amended in Gazette 30 Jun 2008 p. 3135.]</w:t>
      </w:r>
    </w:p>
    <w:p>
      <w:pPr>
        <w:pStyle w:val="yHeading2"/>
        <w:rPr>
          <w:rStyle w:val="CharPartText"/>
        </w:rPr>
      </w:pPr>
      <w:bookmarkStart w:id="49" w:name="_Toc202505219"/>
      <w:r>
        <w:rPr>
          <w:rStyle w:val="CharPartNo"/>
        </w:rPr>
        <w:t>Part 3</w:t>
      </w:r>
      <w:r>
        <w:rPr>
          <w:rStyle w:val="CharDivNo"/>
        </w:rPr>
        <w:t xml:space="preserve"> </w:t>
      </w:r>
      <w:r>
        <w:t>—</w:t>
      </w:r>
      <w:r>
        <w:rPr>
          <w:rStyle w:val="CharDivText"/>
        </w:rPr>
        <w:t xml:space="preserve"> </w:t>
      </w:r>
      <w:r>
        <w:rPr>
          <w:rStyle w:val="CharPartText"/>
        </w:rPr>
        <w:t>Kalgoorlie</w:t>
      </w:r>
      <w:r>
        <w:rPr>
          <w:rStyle w:val="CharPartText"/>
        </w:rPr>
        <w:noBreakHyphen/>
        <w:t>Boulder area</w:t>
      </w:r>
      <w:bookmarkEnd w:id="49"/>
    </w:p>
    <w:p>
      <w:pPr>
        <w:pStyle w:val="yHeading5"/>
      </w:pPr>
      <w:bookmarkStart w:id="50" w:name="_Toc484947044"/>
      <w:bookmarkStart w:id="51" w:name="_Toc202505220"/>
      <w:r>
        <w:t>5.</w:t>
      </w:r>
      <w:r>
        <w:tab/>
        <w:t>Residential tariff</w:t>
      </w:r>
      <w:bookmarkEnd w:id="50"/>
      <w:bookmarkEnd w:id="51"/>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r>
        <w:rPr>
          <w:b/>
        </w:rPr>
        <w:t>Rates for components of 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5"/>
      </w:tblGrid>
      <w:tr>
        <w:tc>
          <w:tcPr>
            <w:tcW w:w="2268" w:type="dxa"/>
          </w:tcPr>
          <w:p>
            <w:pPr>
              <w:pStyle w:val="yTable"/>
            </w:pPr>
            <w:r>
              <w:t>Fixed component</w:t>
            </w:r>
          </w:p>
        </w:tc>
        <w:tc>
          <w:tcPr>
            <w:tcW w:w="3685" w:type="dxa"/>
          </w:tcPr>
          <w:p>
            <w:pPr>
              <w:pStyle w:val="yTable"/>
              <w:tabs>
                <w:tab w:val="left" w:pos="459"/>
              </w:tabs>
              <w:ind w:left="494" w:hanging="494"/>
            </w:pPr>
            <w:r>
              <w:t>•</w:t>
            </w:r>
            <w:r>
              <w:tab/>
              <w:t>27.25 cents per day</w:t>
            </w:r>
          </w:p>
        </w:tc>
      </w:tr>
      <w:tr>
        <w:tc>
          <w:tcPr>
            <w:tcW w:w="2268" w:type="dxa"/>
          </w:tcPr>
          <w:p>
            <w:pPr>
              <w:pStyle w:val="yTable"/>
            </w:pPr>
            <w:r>
              <w:t>Usage component</w:t>
            </w:r>
          </w:p>
        </w:tc>
        <w:tc>
          <w:tcPr>
            <w:tcW w:w="3685" w:type="dxa"/>
          </w:tcPr>
          <w:p>
            <w:pPr>
              <w:pStyle w:val="yTable"/>
              <w:tabs>
                <w:tab w:val="left" w:pos="459"/>
              </w:tabs>
              <w:ind w:left="494" w:hanging="494"/>
            </w:pPr>
            <w:r>
              <w:t>•</w:t>
            </w:r>
            <w:r>
              <w:tab/>
              <w:t>7.56 cents per unit</w:t>
            </w:r>
          </w:p>
        </w:tc>
      </w:tr>
    </w:tbl>
    <w:p>
      <w:pPr>
        <w:pStyle w:val="yFootnotesection"/>
      </w:pPr>
      <w:bookmarkStart w:id="52" w:name="_Toc484947045"/>
      <w:r>
        <w:tab/>
        <w:t>[Clause 5 amended in Gazette 30 Jun 2008 p. 3135.]</w:t>
      </w:r>
    </w:p>
    <w:p>
      <w:pPr>
        <w:pStyle w:val="yHeading5"/>
      </w:pPr>
      <w:bookmarkStart w:id="53" w:name="_Toc202505221"/>
      <w:r>
        <w:t>6.</w:t>
      </w:r>
      <w:r>
        <w:tab/>
        <w:t>Non</w:t>
      </w:r>
      <w:r>
        <w:noBreakHyphen/>
        <w:t>residential tariff</w:t>
      </w:r>
      <w:bookmarkEnd w:id="52"/>
      <w:bookmarkEnd w:id="53"/>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bookmarkStart w:id="54" w:name="_Hlt476483918"/>
      <w:bookmarkEnd w:id="54"/>
      <w:r>
        <w:rPr>
          <w:b/>
        </w:rPr>
        <w:t>Rates for components of non</w:t>
      </w:r>
      <w:r>
        <w:rPr>
          <w:b/>
        </w:rPr>
        <w:noBreakHyphen/>
        <w:t>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3189"/>
      </w:tblGrid>
      <w:tr>
        <w:tc>
          <w:tcPr>
            <w:tcW w:w="2339" w:type="dxa"/>
          </w:tcPr>
          <w:p>
            <w:pPr>
              <w:pStyle w:val="yTable"/>
            </w:pPr>
            <w:r>
              <w:t>Fixed component</w:t>
            </w:r>
          </w:p>
        </w:tc>
        <w:tc>
          <w:tcPr>
            <w:tcW w:w="3189" w:type="dxa"/>
          </w:tcPr>
          <w:p>
            <w:pPr>
              <w:pStyle w:val="yTable"/>
              <w:tabs>
                <w:tab w:val="left" w:pos="459"/>
              </w:tabs>
              <w:ind w:left="494" w:hanging="494"/>
            </w:pPr>
            <w:r>
              <w:t>•</w:t>
            </w:r>
            <w:r>
              <w:tab/>
              <w:t xml:space="preserve">27.25 cents per day </w:t>
            </w:r>
          </w:p>
        </w:tc>
      </w:tr>
      <w:tr>
        <w:tc>
          <w:tcPr>
            <w:tcW w:w="2339" w:type="dxa"/>
          </w:tcPr>
          <w:p>
            <w:pPr>
              <w:pStyle w:val="yTable"/>
            </w:pPr>
            <w:r>
              <w:t>Usage component</w:t>
            </w:r>
          </w:p>
        </w:tc>
        <w:tc>
          <w:tcPr>
            <w:tcW w:w="3189" w:type="dxa"/>
          </w:tcPr>
          <w:p>
            <w:pPr>
              <w:pStyle w:val="yTable"/>
              <w:tabs>
                <w:tab w:val="left" w:pos="459"/>
              </w:tabs>
              <w:ind w:left="494" w:hanging="494"/>
            </w:pPr>
            <w:r>
              <w:t>•</w:t>
            </w:r>
            <w:r>
              <w:tab/>
              <w:t>6.74 cents per unit</w:t>
            </w:r>
          </w:p>
        </w:tc>
      </w:tr>
    </w:tbl>
    <w:p>
      <w:pPr>
        <w:pStyle w:val="yFootnotesection"/>
      </w:pPr>
      <w:bookmarkStart w:id="55" w:name="_Hlt472154491"/>
      <w:bookmarkStart w:id="56" w:name="endcomma"/>
      <w:bookmarkStart w:id="57" w:name="comma"/>
      <w:bookmarkStart w:id="58" w:name="_Hlt476707899"/>
      <w:bookmarkStart w:id="59" w:name="_Hlt471891715"/>
      <w:bookmarkStart w:id="60" w:name="_Hlt472129258"/>
      <w:bookmarkStart w:id="61" w:name="_Hlt472129337"/>
      <w:bookmarkStart w:id="62" w:name="_Hlt476483916"/>
      <w:bookmarkStart w:id="63" w:name="_Hlt476572447"/>
      <w:bookmarkEnd w:id="55"/>
      <w:bookmarkEnd w:id="56"/>
      <w:bookmarkEnd w:id="57"/>
      <w:bookmarkEnd w:id="58"/>
      <w:bookmarkEnd w:id="59"/>
      <w:bookmarkEnd w:id="60"/>
      <w:bookmarkEnd w:id="61"/>
      <w:bookmarkEnd w:id="62"/>
      <w:bookmarkEnd w:id="63"/>
      <w:r>
        <w:tab/>
        <w:t>[Clause 6 amended in Gazette 30 Jun 2008 p. 3135.]</w:t>
      </w:r>
    </w:p>
    <w:p>
      <w:pPr>
        <w:pStyle w:val="yHeading2"/>
      </w:pPr>
      <w:bookmarkStart w:id="64" w:name="_Toc202505222"/>
      <w:r>
        <w:t>Part 4</w:t>
      </w:r>
      <w:r>
        <w:rPr>
          <w:b w:val="0"/>
        </w:rPr>
        <w:t> </w:t>
      </w:r>
      <w:r>
        <w:t>—</w:t>
      </w:r>
      <w:r>
        <w:rPr>
          <w:b w:val="0"/>
        </w:rPr>
        <w:t> </w:t>
      </w:r>
      <w:r>
        <w:t>Adjustment of certain tariff caps</w:t>
      </w:r>
      <w:bookmarkEnd w:id="64"/>
    </w:p>
    <w:p>
      <w:pPr>
        <w:pStyle w:val="yHeading5"/>
      </w:pPr>
      <w:bookmarkStart w:id="65" w:name="_Toc202505223"/>
      <w:r>
        <w:t>7.</w:t>
      </w:r>
      <w:r>
        <w:tab/>
        <w:t>Meaning of “CPI number”</w:t>
      </w:r>
      <w:bookmarkEnd w:id="65"/>
    </w:p>
    <w:p>
      <w:pPr>
        <w:pStyle w:val="ySubsection"/>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Heading5"/>
      </w:pPr>
      <w:bookmarkStart w:id="66" w:name="_Toc202505224"/>
      <w:r>
        <w:t>8.</w:t>
      </w:r>
      <w:r>
        <w:tab/>
        <w:t>Adjustment of rates generally for 2009/10 financial year and thereafter</w:t>
      </w:r>
      <w:bookmarkEnd w:id="66"/>
    </w:p>
    <w:p>
      <w:pPr>
        <w:pStyle w:val="ySubsection"/>
      </w:pPr>
      <w:r>
        <w:tab/>
        <w:t>(1)</w:t>
      </w:r>
      <w:r>
        <w:tab/>
        <w:t xml:space="preserve">This clause applies to the calculation of the fixed component or the usage component (other than the usage component to which clause 9 applies) of a charge under this Schedule for the supply of gas in the 2009/10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jc w:val="center"/>
      </w:pPr>
      <w:r>
        <w:rPr>
          <w:position w:val="-26"/>
        </w:rPr>
        <w:object w:dxaOrig="19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o:ole="">
            <v:imagedata r:id="rId25" o:title=""/>
          </v:shape>
          <o:OLEObject Type="Embed" ProgID="Equation.3" ShapeID="_x0000_i1025" DrawAspect="Content" ObjectID="_1644028723" r:id="rId26"/>
        </w:object>
      </w:r>
    </w:p>
    <w:p>
      <w:pPr>
        <w:pStyle w:val="ySubsection"/>
      </w:pPr>
      <w:r>
        <w:tab/>
      </w:r>
      <w:r>
        <w:tab/>
        <w:t xml:space="preserve">where — </w:t>
      </w:r>
    </w:p>
    <w:p>
      <w:pPr>
        <w:pStyle w:val="yIndenta"/>
      </w:pPr>
      <w:r>
        <w:tab/>
        <w:t>R</w:t>
      </w:r>
      <w:r>
        <w:rPr>
          <w:vertAlign w:val="subscript"/>
        </w:rPr>
        <w:t>n</w:t>
      </w:r>
      <w:r>
        <w:tab/>
        <w:t>is the number of cents per day or cents per unit for the relevant year;</w:t>
      </w:r>
    </w:p>
    <w:p>
      <w:pPr>
        <w:pStyle w:val="yIndenta"/>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amended in Gazette 30 Jun 2008 p. 3135.]</w:t>
      </w:r>
    </w:p>
    <w:p>
      <w:pPr>
        <w:pStyle w:val="yHeading5"/>
      </w:pPr>
      <w:bookmarkStart w:id="67" w:name="_Toc202505225"/>
      <w:r>
        <w:t>9.</w:t>
      </w:r>
      <w:r>
        <w:tab/>
        <w:t>Special adjustment for residential tariffs in Mid West/South West Area</w:t>
      </w:r>
      <w:bookmarkEnd w:id="67"/>
    </w:p>
    <w:p>
      <w:pPr>
        <w:pStyle w:val="ySubsection"/>
      </w:pPr>
      <w:r>
        <w:tab/>
        <w:t>(1)</w:t>
      </w:r>
      <w:r>
        <w:tab/>
        <w:t>This clause applies to the calculation of the third usage component (</w:t>
      </w:r>
      <w:r>
        <w:rPr>
          <w:rStyle w:val="CharDefText"/>
        </w:rPr>
        <w:t>the relevant component</w:t>
      </w:r>
      <w:r>
        <w:t xml:space="preserve">) of a charge under this Schedule for the supply of gas for residential purposes in the Mid West/South West area in the 2009/10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jc w:val="center"/>
      </w:pPr>
      <w:r>
        <w:rPr>
          <w:position w:val="-26"/>
        </w:rPr>
        <w:object w:dxaOrig="2500" w:dyaOrig="639">
          <v:shape id="_x0000_i1026" type="#_x0000_t75" style="width:125.25pt;height:32.25pt" o:ole="">
            <v:imagedata r:id="rId27" o:title=""/>
          </v:shape>
          <o:OLEObject Type="Embed" ProgID="Equation.3" ShapeID="_x0000_i1026" DrawAspect="Content" ObjectID="_1644028724" r:id="rId28"/>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pPr>
      <w:r>
        <w:tab/>
        <w:t>[Clause 9 amended in Gazette 30 Jun 2008 p. 3136.]</w:t>
      </w:r>
    </w:p>
    <w:p>
      <w:pPr>
        <w:pStyle w:val="yFootnotesection"/>
      </w:pPr>
      <w:r>
        <w:tab/>
        <w:t>[Schedule 1 amended in Gazette 18 Oct 2002 p. 5224</w:t>
      </w:r>
      <w:r>
        <w:noBreakHyphen/>
        <w:t>6; 30 Jun 2008 p. 3133-6.]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8" w:name="_Toc202505226"/>
      <w:r>
        <w:t>Notes</w:t>
      </w:r>
      <w:bookmarkEnd w:id="68"/>
    </w:p>
    <w:p>
      <w:pPr>
        <w:pStyle w:val="nSubsection"/>
        <w:rPr>
          <w:snapToGrid w:val="0"/>
        </w:rPr>
      </w:pPr>
      <w:r>
        <w:rPr>
          <w:snapToGrid w:val="0"/>
          <w:vertAlign w:val="superscript"/>
        </w:rPr>
        <w:t>1</w:t>
      </w:r>
      <w:r>
        <w:rPr>
          <w:snapToGrid w:val="0"/>
        </w:rPr>
        <w:tab/>
        <w:t xml:space="preserve">This is a compilation of the </w:t>
      </w:r>
      <w:r>
        <w:rPr>
          <w:i/>
        </w:rPr>
        <w:t>Energy Coordination (Gas Tariffs) Regulations 2000</w:t>
      </w:r>
      <w:r>
        <w:rPr>
          <w:snapToGrid w:val="0"/>
        </w:rPr>
        <w:t xml:space="preserve"> and includes the amendments referred to in the following table.</w:t>
      </w:r>
    </w:p>
    <w:p>
      <w:pPr>
        <w:pStyle w:val="nHeading3"/>
      </w:pPr>
      <w:bookmarkStart w:id="69" w:name="_Toc202505227"/>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Borders>
              <w:bottom w:val="single" w:sz="8" w:space="0" w:color="auto"/>
            </w:tcBorders>
          </w:tcPr>
          <w:p>
            <w:pPr>
              <w:pStyle w:val="nTable"/>
              <w:spacing w:after="40"/>
              <w:rPr>
                <w:i/>
                <w:sz w:val="19"/>
              </w:rPr>
            </w:pPr>
            <w:r>
              <w:rPr>
                <w:i/>
                <w:sz w:val="19"/>
              </w:rPr>
              <w:t>Energy Coordination (Gas Tariffs) Amendment Regulations 2008</w:t>
            </w:r>
          </w:p>
        </w:tc>
        <w:tc>
          <w:tcPr>
            <w:tcW w:w="1276" w:type="dxa"/>
            <w:tcBorders>
              <w:bottom w:val="single" w:sz="8" w:space="0" w:color="auto"/>
            </w:tcBorders>
          </w:tcPr>
          <w:p>
            <w:pPr>
              <w:pStyle w:val="nTable"/>
              <w:spacing w:after="40"/>
              <w:rPr>
                <w:sz w:val="19"/>
              </w:rPr>
            </w:pPr>
            <w:r>
              <w:rPr>
                <w:sz w:val="19"/>
              </w:rPr>
              <w:t>30 Jun 2008 p. 3131-6</w:t>
            </w:r>
          </w:p>
        </w:tc>
        <w:tc>
          <w:tcPr>
            <w:tcW w:w="2693" w:type="dxa"/>
            <w:tcBorders>
              <w:bottom w:val="single" w:sz="8" w:space="0" w:color="auto"/>
            </w:tcBorders>
          </w:tcPr>
          <w:p>
            <w:pPr>
              <w:pStyle w:val="nTable"/>
              <w:spacing w:after="40"/>
              <w:rPr>
                <w:sz w:val="19"/>
              </w:rPr>
            </w:pPr>
            <w:r>
              <w:rPr>
                <w:sz w:val="19"/>
              </w:rPr>
              <w:t>1 Jul 2008 (see r. 2)</w:t>
            </w:r>
          </w:p>
        </w:tc>
      </w:tr>
    </w:tbl>
    <w:p>
      <w:pPr>
        <w:rPr>
          <w:iCs/>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(Gas Tariffs)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649E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D292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4060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C8E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08AB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D3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1C30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267F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D47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69A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A5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564874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240B9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FCF38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B857B6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0"/>
  </w:num>
  <w:num w:numId="3">
    <w:abstractNumId w:val="2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216"/>
    <w:docVar w:name="WAFER_20151207123216" w:val="RemoveTrackChanges"/>
    <w:docVar w:name="WAFER_20151207123216_GUID" w:val="ebffa8ff-a4d3-4743-be56-4b66cbc7a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2424</Words>
  <Characters>11568</Characters>
  <Application>Microsoft Office Word</Application>
  <DocSecurity>0</DocSecurity>
  <Lines>361</Lines>
  <Paragraphs>249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vector>
  </TitlesOfParts>
  <Manager/>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2000 - 00-b0-04</dc:title>
  <dc:subject/>
  <dc:creator/>
  <cp:keywords/>
  <dc:description/>
  <cp:lastModifiedBy>svcMRProcess</cp:lastModifiedBy>
  <cp:revision>4</cp:revision>
  <cp:lastPrinted>2000-06-29T02:42:00Z</cp:lastPrinted>
  <dcterms:created xsi:type="dcterms:W3CDTF">2020-02-23T21:52:00Z</dcterms:created>
  <dcterms:modified xsi:type="dcterms:W3CDTF">2020-02-23T21:52:00Z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AsAtDate">
    <vt:lpwstr>01 Jul 2008</vt:lpwstr>
  </property>
  <property fmtid="{D5CDD505-2E9C-101B-9397-08002B2CF9AE}" pid="6" name="Suffix">
    <vt:lpwstr>00-b0-04</vt:lpwstr>
  </property>
  <property fmtid="{D5CDD505-2E9C-101B-9397-08002B2CF9AE}" pid="7" name="OwlsUID">
    <vt:i4>1369</vt:i4>
  </property>
</Properties>
</file>