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Local Government Act 1995</w:t>
      </w:r>
    </w:p>
    <w:p>
      <w:pPr>
        <w:pStyle w:val="NameofActRegPage1"/>
        <w:spacing w:before="1800" w:after="420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_Toc202521463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_Toc202521464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_Toc202521465 \h </w:instrText>
      </w:r>
      <w:r>
        <w:fldChar w:fldCharType="separate"/>
      </w:r>
      <w:r>
        <w:t>1</w:t>
      </w:r>
      <w:r>
        <w:fldChar w:fldCharType="end"/>
      </w:r>
    </w:p>
    <w:p>
      <w:pPr>
        <w:pStyle w:val="TOC8"/>
        <w:rPr>
          <w:sz w:val="24"/>
          <w:szCs w:val="24"/>
        </w:rPr>
      </w:pPr>
      <w:r>
        <w:rPr>
          <w:szCs w:val="24"/>
        </w:rPr>
        <w:t>4.</w:t>
      </w:r>
      <w:r>
        <w:rPr>
          <w:szCs w:val="24"/>
        </w:rPr>
        <w:tab/>
        <w:t>Effect of AAS</w:t>
      </w:r>
      <w:r>
        <w:tab/>
      </w:r>
      <w:r>
        <w:fldChar w:fldCharType="begin"/>
      </w:r>
      <w:r>
        <w:instrText xml:space="preserve"> PAGEREF _Toc202521466 \h </w:instrText>
      </w:r>
      <w:r>
        <w:fldChar w:fldCharType="separate"/>
      </w:r>
      <w:r>
        <w:t>3</w:t>
      </w:r>
      <w:r>
        <w:fldChar w:fldCharType="end"/>
      </w:r>
    </w:p>
    <w:p>
      <w:pPr>
        <w:pStyle w:val="TOC2"/>
        <w:tabs>
          <w:tab w:val="right" w:leader="dot" w:pos="7086"/>
        </w:tabs>
        <w:rPr>
          <w:b w:val="0"/>
          <w:sz w:val="24"/>
          <w:szCs w:val="24"/>
        </w:rPr>
      </w:pPr>
      <w:r>
        <w:rPr>
          <w:szCs w:val="30"/>
        </w:rPr>
        <w:t>Part 2 — General financial management — s. 6.10</w:t>
      </w:r>
    </w:p>
    <w:p>
      <w:pPr>
        <w:pStyle w:val="TOC8"/>
        <w:rPr>
          <w:sz w:val="24"/>
          <w:szCs w:val="24"/>
        </w:rPr>
      </w:pPr>
      <w:r>
        <w:rPr>
          <w:szCs w:val="24"/>
        </w:rPr>
        <w:t>5A.</w:t>
      </w:r>
      <w:r>
        <w:rPr>
          <w:szCs w:val="24"/>
        </w:rPr>
        <w:tab/>
        <w:t>Local governments to comply with AAS</w:t>
      </w:r>
      <w:r>
        <w:tab/>
      </w:r>
      <w:r>
        <w:fldChar w:fldCharType="begin"/>
      </w:r>
      <w:r>
        <w:instrText xml:space="preserve"> PAGEREF _Toc202521468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Financial management duties of the CEO</w:t>
      </w:r>
      <w:r>
        <w:tab/>
      </w:r>
      <w:r>
        <w:fldChar w:fldCharType="begin"/>
      </w:r>
      <w:r>
        <w:instrText xml:space="preserve"> PAGEREF _Toc202521469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Audits and performance reviews to be independent</w:t>
      </w:r>
      <w:r>
        <w:tab/>
      </w:r>
      <w:r>
        <w:fldChar w:fldCharType="begin"/>
      </w:r>
      <w:r>
        <w:instrText xml:space="preserve"> PAGEREF _Toc202521470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No separate ward accounts to be kept</w:t>
      </w:r>
      <w:r>
        <w:tab/>
      </w:r>
      <w:r>
        <w:fldChar w:fldCharType="begin"/>
      </w:r>
      <w:r>
        <w:instrText xml:space="preserve"> PAGEREF _Toc202521471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Bank accounts</w:t>
      </w:r>
      <w:r>
        <w:tab/>
      </w:r>
      <w:r>
        <w:fldChar w:fldCharType="begin"/>
      </w:r>
      <w:r>
        <w:instrText xml:space="preserve"> PAGEREF _Toc202521472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Accounting for trading undertakings and major land transactions</w:t>
      </w:r>
      <w:r>
        <w:tab/>
      </w:r>
      <w:r>
        <w:fldChar w:fldCharType="begin"/>
      </w:r>
      <w:r>
        <w:instrText xml:space="preserve"> PAGEREF _Toc202521473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Receipt of money</w:t>
      </w:r>
      <w:r>
        <w:tab/>
      </w:r>
      <w:r>
        <w:fldChar w:fldCharType="begin"/>
      </w:r>
      <w:r>
        <w:instrText xml:space="preserve"> PAGEREF _Toc202521474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Payment of accounts</w:t>
      </w:r>
      <w:r>
        <w:tab/>
      </w:r>
      <w:r>
        <w:fldChar w:fldCharType="begin"/>
      </w:r>
      <w:r>
        <w:instrText xml:space="preserve"> PAGEREF _Toc202521475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Payments from municipal fund or trust fund</w:t>
      </w:r>
      <w:r>
        <w:tab/>
      </w:r>
      <w:r>
        <w:fldChar w:fldCharType="begin"/>
      </w:r>
      <w:r>
        <w:instrText xml:space="preserve"> PAGEREF _Toc202521476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Lists of accounts</w:t>
      </w:r>
      <w:r>
        <w:tab/>
      </w:r>
      <w:r>
        <w:fldChar w:fldCharType="begin"/>
      </w:r>
      <w:r>
        <w:instrText xml:space="preserve"> PAGEREF _Toc202521477 \h </w:instrText>
      </w:r>
      <w:r>
        <w:fldChar w:fldCharType="separate"/>
      </w:r>
      <w:r>
        <w:t>7</w:t>
      </w:r>
      <w:r>
        <w:fldChar w:fldCharType="end"/>
      </w:r>
    </w:p>
    <w:p>
      <w:pPr>
        <w:pStyle w:val="TOC8"/>
        <w:rPr>
          <w:sz w:val="24"/>
          <w:szCs w:val="24"/>
        </w:rPr>
      </w:pPr>
      <w:r>
        <w:rPr>
          <w:szCs w:val="24"/>
        </w:rPr>
        <w:t>14.</w:t>
      </w:r>
      <w:r>
        <w:rPr>
          <w:szCs w:val="24"/>
        </w:rPr>
        <w:tab/>
        <w:t>Disclosure requirements for operating revenue and expenses</w:t>
      </w:r>
      <w:r>
        <w:tab/>
      </w:r>
      <w:r>
        <w:fldChar w:fldCharType="begin"/>
      </w:r>
      <w:r>
        <w:instrText xml:space="preserve"> PAGEREF _Toc202521478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Rounding off figures</w:t>
      </w:r>
      <w:r>
        <w:tab/>
      </w:r>
      <w:r>
        <w:fldChar w:fldCharType="begin"/>
      </w:r>
      <w:r>
        <w:instrText xml:space="preserve"> PAGEREF _Toc202521479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Accounting for land under local government’s control</w:t>
      </w:r>
      <w:r>
        <w:tab/>
      </w:r>
      <w:r>
        <w:fldChar w:fldCharType="begin"/>
      </w:r>
      <w:r>
        <w:instrText xml:space="preserve"> PAGEREF _Toc202521480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Reserve accounts</w:t>
      </w:r>
      <w:r>
        <w:tab/>
      </w:r>
      <w:r>
        <w:fldChar w:fldCharType="begin"/>
      </w:r>
      <w:r>
        <w:instrText xml:space="preserve"> PAGEREF _Toc202521481 \h </w:instrText>
      </w:r>
      <w:r>
        <w:fldChar w:fldCharType="separate"/>
      </w:r>
      <w:r>
        <w:t>10</w:t>
      </w:r>
      <w:r>
        <w:fldChar w:fldCharType="end"/>
      </w:r>
    </w:p>
    <w:p>
      <w:pPr>
        <w:pStyle w:val="TOC8"/>
        <w:rPr>
          <w:sz w:val="24"/>
          <w:szCs w:val="24"/>
        </w:rPr>
      </w:pPr>
      <w:r>
        <w:rPr>
          <w:szCs w:val="24"/>
        </w:rPr>
        <w:lastRenderedPageBreak/>
        <w:t>18</w:t>
      </w:r>
      <w:r>
        <w:rPr>
          <w:snapToGrid w:val="0"/>
          <w:szCs w:val="24"/>
        </w:rPr>
        <w:t>.</w:t>
      </w:r>
      <w:r>
        <w:rPr>
          <w:snapToGrid w:val="0"/>
          <w:szCs w:val="24"/>
        </w:rPr>
        <w:tab/>
        <w:t>Circumstances in which local public notice not required for change of use of money in reserve account — s. </w:t>
      </w:r>
      <w:r>
        <w:rPr>
          <w:szCs w:val="24"/>
        </w:rPr>
        <w:t>6</w:t>
      </w:r>
      <w:r>
        <w:rPr>
          <w:snapToGrid w:val="0"/>
          <w:szCs w:val="24"/>
        </w:rPr>
        <w:t>.11(3)(b)</w:t>
      </w:r>
      <w:r>
        <w:tab/>
      </w:r>
      <w:r>
        <w:fldChar w:fldCharType="begin"/>
      </w:r>
      <w:r>
        <w:instrText xml:space="preserve"> PAGEREF _Toc202521482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Management of investments</w:t>
      </w:r>
      <w:r>
        <w:tab/>
      </w:r>
      <w:r>
        <w:fldChar w:fldCharType="begin"/>
      </w:r>
      <w:r>
        <w:instrText xml:space="preserve"> PAGEREF _Toc202521483 \h </w:instrText>
      </w:r>
      <w:r>
        <w:fldChar w:fldCharType="separate"/>
      </w:r>
      <w:r>
        <w:t>11</w:t>
      </w:r>
      <w:r>
        <w:fldChar w:fldCharType="end"/>
      </w:r>
    </w:p>
    <w:p>
      <w:pPr>
        <w:pStyle w:val="TOC8"/>
        <w:rPr>
          <w:sz w:val="24"/>
          <w:szCs w:val="24"/>
        </w:rPr>
      </w:pPr>
      <w:r>
        <w:rPr>
          <w:szCs w:val="24"/>
        </w:rPr>
        <w:t>19A</w:t>
      </w:r>
      <w:r>
        <w:rPr>
          <w:snapToGrid w:val="0"/>
          <w:szCs w:val="24"/>
        </w:rPr>
        <w:t>.</w:t>
      </w:r>
      <w:r>
        <w:rPr>
          <w:snapToGrid w:val="0"/>
          <w:szCs w:val="24"/>
        </w:rPr>
        <w:tab/>
        <w:t>Maximum rate of interest on money owing — s. 6.13(3)</w:t>
      </w:r>
      <w:r>
        <w:tab/>
      </w:r>
      <w:r>
        <w:fldChar w:fldCharType="begin"/>
      </w:r>
      <w:r>
        <w:instrText xml:space="preserve"> PAGEREF _Toc202521484 \h </w:instrText>
      </w:r>
      <w:r>
        <w:fldChar w:fldCharType="separate"/>
      </w:r>
      <w:r>
        <w:t>11</w:t>
      </w:r>
      <w:r>
        <w:fldChar w:fldCharType="end"/>
      </w:r>
    </w:p>
    <w:p>
      <w:pPr>
        <w:pStyle w:val="TOC8"/>
        <w:rPr>
          <w:sz w:val="24"/>
          <w:szCs w:val="24"/>
        </w:rPr>
      </w:pPr>
      <w:r>
        <w:rPr>
          <w:szCs w:val="24"/>
        </w:rPr>
        <w:t>19B</w:t>
      </w:r>
      <w:r>
        <w:rPr>
          <w:snapToGrid w:val="0"/>
          <w:szCs w:val="24"/>
        </w:rPr>
        <w:t>.</w:t>
      </w:r>
      <w:r>
        <w:rPr>
          <w:snapToGrid w:val="0"/>
          <w:szCs w:val="24"/>
        </w:rPr>
        <w:tab/>
        <w:t>Calculating interest on money owing</w:t>
      </w:r>
      <w:r>
        <w:tab/>
      </w:r>
      <w:r>
        <w:fldChar w:fldCharType="begin"/>
      </w:r>
      <w:r>
        <w:instrText xml:space="preserve"> PAGEREF _Toc202521485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Circumstances in which local public notice not required for exercise of power to borrow — s. </w:t>
      </w:r>
      <w:r>
        <w:rPr>
          <w:szCs w:val="24"/>
        </w:rPr>
        <w:t>6</w:t>
      </w:r>
      <w:r>
        <w:rPr>
          <w:snapToGrid w:val="0"/>
          <w:szCs w:val="24"/>
        </w:rPr>
        <w:t>.20(2)(a)</w:t>
      </w:r>
      <w:r>
        <w:tab/>
      </w:r>
      <w:r>
        <w:fldChar w:fldCharType="begin"/>
      </w:r>
      <w:r>
        <w:instrText xml:space="preserve"> PAGEREF _Toc202521486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Circumstances in which local public notice not required for change of use of borrowings — s. </w:t>
      </w:r>
      <w:r>
        <w:rPr>
          <w:szCs w:val="24"/>
        </w:rPr>
        <w:t>6</w:t>
      </w:r>
      <w:r>
        <w:rPr>
          <w:snapToGrid w:val="0"/>
          <w:szCs w:val="24"/>
        </w:rPr>
        <w:t>.20(4)(b)</w:t>
      </w:r>
      <w:r>
        <w:tab/>
      </w:r>
      <w:r>
        <w:fldChar w:fldCharType="begin"/>
      </w:r>
      <w:r>
        <w:instrText xml:space="preserve"> PAGEREF _Toc202521487 \h </w:instrText>
      </w:r>
      <w:r>
        <w:fldChar w:fldCharType="separate"/>
      </w:r>
      <w:r>
        <w:t>13</w:t>
      </w:r>
      <w:r>
        <w:fldChar w:fldCharType="end"/>
      </w:r>
    </w:p>
    <w:p>
      <w:pPr>
        <w:pStyle w:val="TOC2"/>
        <w:tabs>
          <w:tab w:val="right" w:leader="dot" w:pos="7086"/>
        </w:tabs>
        <w:rPr>
          <w:b w:val="0"/>
          <w:sz w:val="24"/>
          <w:szCs w:val="24"/>
        </w:rPr>
      </w:pPr>
      <w:r>
        <w:rPr>
          <w:szCs w:val="30"/>
        </w:rPr>
        <w:t>Part 3 — Annual budget — s. 6.2</w:t>
      </w:r>
    </w:p>
    <w:p>
      <w:pPr>
        <w:pStyle w:val="TOC8"/>
        <w:rPr>
          <w:sz w:val="24"/>
          <w:szCs w:val="24"/>
        </w:rPr>
      </w:pPr>
      <w:r>
        <w:rPr>
          <w:szCs w:val="24"/>
        </w:rPr>
        <w:t>22</w:t>
      </w:r>
      <w:r>
        <w:rPr>
          <w:snapToGrid w:val="0"/>
          <w:szCs w:val="24"/>
        </w:rPr>
        <w:t>.</w:t>
      </w:r>
      <w:r>
        <w:rPr>
          <w:snapToGrid w:val="0"/>
          <w:szCs w:val="24"/>
        </w:rPr>
        <w:tab/>
        <w:t>Form of annual budget — s. 6.2(1)</w:t>
      </w:r>
      <w:r>
        <w:tab/>
      </w:r>
      <w:r>
        <w:fldChar w:fldCharType="begin"/>
      </w:r>
      <w:r>
        <w:instrText xml:space="preserve"> PAGEREF _Toc202521489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Rates information</w:t>
      </w:r>
      <w:r>
        <w:tab/>
      </w:r>
      <w:r>
        <w:fldChar w:fldCharType="begin"/>
      </w:r>
      <w:r>
        <w:instrText xml:space="preserve"> PAGEREF _Toc202521490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Service charges information</w:t>
      </w:r>
      <w:r>
        <w:tab/>
      </w:r>
      <w:r>
        <w:fldChar w:fldCharType="begin"/>
      </w:r>
      <w:r>
        <w:instrText xml:space="preserve"> PAGEREF _Toc202521491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Fees and charges information</w:t>
      </w:r>
      <w:r>
        <w:tab/>
      </w:r>
      <w:r>
        <w:fldChar w:fldCharType="begin"/>
      </w:r>
      <w:r>
        <w:instrText xml:space="preserve"> PAGEREF _Toc202521492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Discount, incentive, concession, waiver and write</w:t>
      </w:r>
      <w:r>
        <w:rPr>
          <w:snapToGrid w:val="0"/>
          <w:szCs w:val="24"/>
        </w:rPr>
        <w:noBreakHyphen/>
        <w:t>off information</w:t>
      </w:r>
      <w:r>
        <w:tab/>
      </w:r>
      <w:r>
        <w:fldChar w:fldCharType="begin"/>
      </w:r>
      <w:r>
        <w:instrText xml:space="preserve"> PAGEREF _Toc202521493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Budget notes</w:t>
      </w:r>
      <w:r>
        <w:tab/>
      </w:r>
      <w:r>
        <w:fldChar w:fldCharType="begin"/>
      </w:r>
      <w:r>
        <w:instrText xml:space="preserve"> PAGEREF _Toc202521494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Investment information</w:t>
      </w:r>
      <w:r>
        <w:tab/>
      </w:r>
      <w:r>
        <w:fldChar w:fldCharType="begin"/>
      </w:r>
      <w:r>
        <w:instrText xml:space="preserve"> PAGEREF _Toc202521495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Borrowings information</w:t>
      </w:r>
      <w:r>
        <w:tab/>
      </w:r>
      <w:r>
        <w:fldChar w:fldCharType="begin"/>
      </w:r>
      <w:r>
        <w:instrText xml:space="preserve"> PAGEREF _Toc202521496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Previous financial year figures to be included for comparison</w:t>
      </w:r>
      <w:r>
        <w:tab/>
      </w:r>
      <w:r>
        <w:fldChar w:fldCharType="begin"/>
      </w:r>
      <w:r>
        <w:instrText xml:space="preserve"> PAGEREF _Toc202521497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Net current assets at start of financial year to be shown</w:t>
      </w:r>
      <w:r>
        <w:tab/>
      </w:r>
      <w:r>
        <w:fldChar w:fldCharType="begin"/>
      </w:r>
      <w:r>
        <w:instrText xml:space="preserve"> PAGEREF _Toc202521498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Amounts which may be excluded in calculation of budget deficiency — s. </w:t>
      </w:r>
      <w:r>
        <w:rPr>
          <w:szCs w:val="24"/>
        </w:rPr>
        <w:t>6</w:t>
      </w:r>
      <w:r>
        <w:rPr>
          <w:snapToGrid w:val="0"/>
          <w:szCs w:val="24"/>
        </w:rPr>
        <w:t>.2(3)</w:t>
      </w:r>
      <w:r>
        <w:tab/>
      </w:r>
      <w:r>
        <w:fldChar w:fldCharType="begin"/>
      </w:r>
      <w:r>
        <w:instrText xml:space="preserve"> PAGEREF _Toc202521499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Completion of annual budget</w:t>
      </w:r>
      <w:r>
        <w:tab/>
      </w:r>
      <w:r>
        <w:fldChar w:fldCharType="begin"/>
      </w:r>
      <w:r>
        <w:instrText xml:space="preserve"> PAGEREF _Toc202521500 \h </w:instrText>
      </w:r>
      <w:r>
        <w:fldChar w:fldCharType="separate"/>
      </w:r>
      <w:r>
        <w:t>27</w:t>
      </w:r>
      <w:r>
        <w:fldChar w:fldCharType="end"/>
      </w:r>
    </w:p>
    <w:p>
      <w:pPr>
        <w:pStyle w:val="TOC8"/>
        <w:rPr>
          <w:sz w:val="24"/>
          <w:szCs w:val="24"/>
        </w:rPr>
      </w:pPr>
      <w:r>
        <w:rPr>
          <w:szCs w:val="24"/>
        </w:rPr>
        <w:t>33A.</w:t>
      </w:r>
      <w:r>
        <w:rPr>
          <w:szCs w:val="24"/>
        </w:rPr>
        <w:tab/>
        <w:t>Review of budget</w:t>
      </w:r>
      <w:r>
        <w:tab/>
      </w:r>
      <w:r>
        <w:fldChar w:fldCharType="begin"/>
      </w:r>
      <w:r>
        <w:instrText xml:space="preserve"> PAGEREF _Toc202521501 \h </w:instrText>
      </w:r>
      <w:r>
        <w:fldChar w:fldCharType="separate"/>
      </w:r>
      <w:r>
        <w:t>27</w:t>
      </w:r>
      <w:r>
        <w:fldChar w:fldCharType="end"/>
      </w:r>
    </w:p>
    <w:p>
      <w:pPr>
        <w:pStyle w:val="TOC2"/>
        <w:tabs>
          <w:tab w:val="right" w:leader="dot" w:pos="7086"/>
        </w:tabs>
        <w:rPr>
          <w:b w:val="0"/>
          <w:sz w:val="24"/>
          <w:szCs w:val="24"/>
        </w:rPr>
      </w:pPr>
      <w:r>
        <w:rPr>
          <w:szCs w:val="30"/>
        </w:rPr>
        <w:t>Part 4 — Financial reports — s. 6.4</w:t>
      </w:r>
    </w:p>
    <w:p>
      <w:pPr>
        <w:pStyle w:val="TOC8"/>
        <w:rPr>
          <w:sz w:val="24"/>
          <w:szCs w:val="24"/>
        </w:rPr>
      </w:pPr>
      <w:r>
        <w:rPr>
          <w:szCs w:val="24"/>
        </w:rPr>
        <w:t>34.</w:t>
      </w:r>
      <w:r>
        <w:rPr>
          <w:szCs w:val="24"/>
        </w:rPr>
        <w:tab/>
        <w:t>Financial activity statement report — s. 6.4</w:t>
      </w:r>
      <w:r>
        <w:tab/>
      </w:r>
      <w:r>
        <w:fldChar w:fldCharType="begin"/>
      </w:r>
      <w:r>
        <w:instrText xml:space="preserve"> PAGEREF _Toc202521503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Form of annual financial report — s. 6.4(2)</w:t>
      </w:r>
      <w:r>
        <w:tab/>
      </w:r>
      <w:r>
        <w:fldChar w:fldCharType="begin"/>
      </w:r>
      <w:r>
        <w:instrText xml:space="preserve"> PAGEREF _Toc202521504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Trust fund information</w:t>
      </w:r>
      <w:r>
        <w:tab/>
      </w:r>
      <w:r>
        <w:fldChar w:fldCharType="begin"/>
      </w:r>
      <w:r>
        <w:instrText xml:space="preserve"> PAGEREF _Toc202521505 \h </w:instrText>
      </w:r>
      <w:r>
        <w:fldChar w:fldCharType="separate"/>
      </w:r>
      <w:r>
        <w:t>31</w:t>
      </w:r>
      <w:r>
        <w:fldChar w:fldCharType="end"/>
      </w:r>
    </w:p>
    <w:p>
      <w:pPr>
        <w:pStyle w:val="TOC8"/>
        <w:rPr>
          <w:sz w:val="24"/>
          <w:szCs w:val="24"/>
        </w:rPr>
      </w:pPr>
      <w:r>
        <w:rPr>
          <w:szCs w:val="24"/>
        </w:rPr>
        <w:t>38</w:t>
      </w:r>
      <w:r>
        <w:rPr>
          <w:snapToGrid w:val="0"/>
          <w:szCs w:val="24"/>
        </w:rPr>
        <w:t>.</w:t>
      </w:r>
      <w:r>
        <w:rPr>
          <w:snapToGrid w:val="0"/>
          <w:szCs w:val="24"/>
        </w:rPr>
        <w:tab/>
        <w:t>Reserve account information</w:t>
      </w:r>
      <w:r>
        <w:tab/>
      </w:r>
      <w:r>
        <w:fldChar w:fldCharType="begin"/>
      </w:r>
      <w:r>
        <w:instrText xml:space="preserve"> PAGEREF _Toc202521506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Rating information</w:t>
      </w:r>
      <w:r>
        <w:tab/>
      </w:r>
      <w:r>
        <w:fldChar w:fldCharType="begin"/>
      </w:r>
      <w:r>
        <w:instrText xml:space="preserve"> PAGEREF _Toc202521507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Information about service charges</w:t>
      </w:r>
      <w:r>
        <w:tab/>
      </w:r>
      <w:r>
        <w:fldChar w:fldCharType="begin"/>
      </w:r>
      <w:r>
        <w:instrText xml:space="preserve"> PAGEREF _Toc202521508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Information about fees and charges</w:t>
      </w:r>
      <w:r>
        <w:tab/>
      </w:r>
      <w:r>
        <w:fldChar w:fldCharType="begin"/>
      </w:r>
      <w:r>
        <w:instrText xml:space="preserve"> PAGEREF _Toc202521509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Information about discounts, incentives, concessions and write</w:t>
      </w:r>
      <w:r>
        <w:rPr>
          <w:snapToGrid w:val="0"/>
          <w:szCs w:val="24"/>
        </w:rPr>
        <w:noBreakHyphen/>
        <w:t>offs</w:t>
      </w:r>
      <w:r>
        <w:tab/>
      </w:r>
      <w:r>
        <w:fldChar w:fldCharType="begin"/>
      </w:r>
      <w:r>
        <w:instrText xml:space="preserve"> PAGEREF _Toc202521510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Information about interest payments and additional charges</w:t>
      </w:r>
      <w:r>
        <w:tab/>
      </w:r>
      <w:r>
        <w:fldChar w:fldCharType="begin"/>
      </w:r>
      <w:r>
        <w:instrText xml:space="preserve"> PAGEREF _Toc202521511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Information about fees etc. to council members</w:t>
      </w:r>
      <w:r>
        <w:tab/>
      </w:r>
      <w:r>
        <w:fldChar w:fldCharType="begin"/>
      </w:r>
      <w:r>
        <w:instrText xml:space="preserve"> PAGEREF _Toc202521512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Trading undertakings information</w:t>
      </w:r>
      <w:r>
        <w:tab/>
      </w:r>
      <w:r>
        <w:fldChar w:fldCharType="begin"/>
      </w:r>
      <w:r>
        <w:instrText xml:space="preserve"> PAGEREF _Toc202521513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Major land transactions information</w:t>
      </w:r>
      <w:r>
        <w:tab/>
      </w:r>
      <w:r>
        <w:fldChar w:fldCharType="begin"/>
      </w:r>
      <w:r>
        <w:instrText xml:space="preserve"> PAGEREF _Toc202521514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Information on completion of major land transactions</w:t>
      </w:r>
      <w:r>
        <w:tab/>
      </w:r>
      <w:r>
        <w:fldChar w:fldCharType="begin"/>
      </w:r>
      <w:r>
        <w:instrText xml:space="preserve"> PAGEREF _Toc202521515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Information about borrowings</w:t>
      </w:r>
      <w:r>
        <w:tab/>
      </w:r>
      <w:r>
        <w:fldChar w:fldCharType="begin"/>
      </w:r>
      <w:r>
        <w:instrText xml:space="preserve"> PAGEREF _Toc202521516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Investment information</w:t>
      </w:r>
      <w:r>
        <w:tab/>
      </w:r>
      <w:r>
        <w:fldChar w:fldCharType="begin"/>
      </w:r>
      <w:r>
        <w:instrText xml:space="preserve"> PAGEREF _Toc202521517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Financial information by ratio</w:t>
      </w:r>
      <w:r>
        <w:tab/>
      </w:r>
      <w:r>
        <w:fldChar w:fldCharType="begin"/>
      </w:r>
      <w:r>
        <w:instrText xml:space="preserve"> PAGEREF _Toc202521518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Completion of financial report</w:t>
      </w:r>
      <w:r>
        <w:tab/>
      </w:r>
      <w:r>
        <w:fldChar w:fldCharType="begin"/>
      </w:r>
      <w:r>
        <w:instrText xml:space="preserve"> PAGEREF _Toc202521519 \h </w:instrText>
      </w:r>
      <w:r>
        <w:fldChar w:fldCharType="separate"/>
      </w:r>
      <w:r>
        <w:t>43</w:t>
      </w:r>
      <w:r>
        <w:fldChar w:fldCharType="end"/>
      </w:r>
    </w:p>
    <w:p>
      <w:pPr>
        <w:pStyle w:val="TOC2"/>
        <w:tabs>
          <w:tab w:val="right" w:leader="dot" w:pos="7086"/>
        </w:tabs>
        <w:rPr>
          <w:b w:val="0"/>
          <w:sz w:val="24"/>
          <w:szCs w:val="24"/>
        </w:rPr>
      </w:pPr>
      <w:r>
        <w:rPr>
          <w:szCs w:val="30"/>
        </w:rPr>
        <w:t>Part 5 — Rates and service charges</w:t>
      </w:r>
    </w:p>
    <w:p>
      <w:pPr>
        <w:pStyle w:val="TOC8"/>
        <w:rPr>
          <w:sz w:val="24"/>
          <w:szCs w:val="24"/>
        </w:rPr>
      </w:pPr>
      <w:r>
        <w:rPr>
          <w:szCs w:val="24"/>
        </w:rPr>
        <w:t>52</w:t>
      </w:r>
      <w:r>
        <w:rPr>
          <w:snapToGrid w:val="0"/>
          <w:szCs w:val="24"/>
        </w:rPr>
        <w:t>.</w:t>
      </w:r>
      <w:r>
        <w:rPr>
          <w:snapToGrid w:val="0"/>
          <w:szCs w:val="24"/>
        </w:rPr>
        <w:tab/>
        <w:t>Minimum payment — maximum percentage — s. 6.35(4)</w:t>
      </w:r>
      <w:r>
        <w:tab/>
      </w:r>
      <w:r>
        <w:fldChar w:fldCharType="begin"/>
      </w:r>
      <w:r>
        <w:instrText xml:space="preserve"> PAGEREF _Toc202521521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Minimum payment — amount of general minimum —s. </w:t>
      </w:r>
      <w:r>
        <w:rPr>
          <w:szCs w:val="24"/>
        </w:rPr>
        <w:t>6</w:t>
      </w:r>
      <w:r>
        <w:rPr>
          <w:snapToGrid w:val="0"/>
          <w:szCs w:val="24"/>
        </w:rPr>
        <w:t>.35(4)</w:t>
      </w:r>
      <w:r>
        <w:tab/>
      </w:r>
      <w:r>
        <w:fldChar w:fldCharType="begin"/>
      </w:r>
      <w:r>
        <w:instrText xml:space="preserve"> PAGEREF _Toc202521522 \h </w:instrText>
      </w:r>
      <w:r>
        <w:fldChar w:fldCharType="separate"/>
      </w:r>
      <w:r>
        <w:t>44</w:t>
      </w:r>
      <w:r>
        <w:fldChar w:fldCharType="end"/>
      </w:r>
    </w:p>
    <w:p>
      <w:pPr>
        <w:pStyle w:val="TOC8"/>
        <w:rPr>
          <w:sz w:val="24"/>
          <w:szCs w:val="24"/>
        </w:rPr>
      </w:pPr>
      <w:r>
        <w:rPr>
          <w:szCs w:val="24"/>
        </w:rPr>
        <w:t>54</w:t>
      </w:r>
      <w:r>
        <w:rPr>
          <w:snapToGrid w:val="0"/>
          <w:szCs w:val="24"/>
        </w:rPr>
        <w:t>.</w:t>
      </w:r>
      <w:r>
        <w:rPr>
          <w:snapToGrid w:val="0"/>
          <w:szCs w:val="24"/>
        </w:rPr>
        <w:tab/>
        <w:t>Service charge — prescribed services — s. 6.38(1)</w:t>
      </w:r>
      <w:r>
        <w:tab/>
      </w:r>
      <w:r>
        <w:fldChar w:fldCharType="begin"/>
      </w:r>
      <w:r>
        <w:instrText xml:space="preserve"> PAGEREF _Toc202521523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Form of rate record — s. 6.39(1)</w:t>
      </w:r>
      <w:r>
        <w:tab/>
      </w:r>
      <w:r>
        <w:fldChar w:fldCharType="begin"/>
      </w:r>
      <w:r>
        <w:instrText xml:space="preserve"> PAGEREF _Toc202521524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Contents of rate notice — s. 6.41</w:t>
      </w:r>
      <w:r>
        <w:tab/>
      </w:r>
      <w:r>
        <w:fldChar w:fldCharType="begin"/>
      </w:r>
      <w:r>
        <w:instrText xml:space="preserve"> PAGEREF _Toc202521525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Contents of reminder notice for instalment payments —s. </w:t>
      </w:r>
      <w:r>
        <w:rPr>
          <w:szCs w:val="24"/>
        </w:rPr>
        <w:t>6</w:t>
      </w:r>
      <w:r>
        <w:rPr>
          <w:snapToGrid w:val="0"/>
          <w:szCs w:val="24"/>
        </w:rPr>
        <w:t>.41</w:t>
      </w:r>
      <w:r>
        <w:tab/>
      </w:r>
      <w:r>
        <w:fldChar w:fldCharType="begin"/>
      </w:r>
      <w:r>
        <w:instrText xml:space="preserve"> PAGEREF _Toc202521526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Instalments not available if payment in arrears</w:t>
      </w:r>
      <w:r>
        <w:tab/>
      </w:r>
      <w:r>
        <w:fldChar w:fldCharType="begin"/>
      </w:r>
      <w:r>
        <w:instrText xml:space="preserve"> PAGEREF _Toc202521527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Instalments not available for small amounts — s. 6.45(4)(b)</w:t>
      </w:r>
      <w:r>
        <w:tab/>
      </w:r>
      <w:r>
        <w:fldChar w:fldCharType="begin"/>
      </w:r>
      <w:r>
        <w:instrText xml:space="preserve"> PAGEREF _Toc202521528 \h </w:instrText>
      </w:r>
      <w:r>
        <w:fldChar w:fldCharType="separate"/>
      </w:r>
      <w:r>
        <w:t>50</w:t>
      </w:r>
      <w:r>
        <w:fldChar w:fldCharType="end"/>
      </w:r>
    </w:p>
    <w:p>
      <w:pPr>
        <w:pStyle w:val="TOC8"/>
        <w:rPr>
          <w:sz w:val="24"/>
          <w:szCs w:val="24"/>
        </w:rPr>
      </w:pPr>
      <w:r>
        <w:rPr>
          <w:szCs w:val="24"/>
        </w:rPr>
        <w:t>60</w:t>
      </w:r>
      <w:r>
        <w:rPr>
          <w:snapToGrid w:val="0"/>
          <w:szCs w:val="24"/>
        </w:rPr>
        <w:t>.</w:t>
      </w:r>
      <w:r>
        <w:rPr>
          <w:snapToGrid w:val="0"/>
          <w:szCs w:val="24"/>
        </w:rPr>
        <w:tab/>
        <w:t>Manner of election to pay by instalments</w:t>
      </w:r>
      <w:r>
        <w:tab/>
      </w:r>
      <w:r>
        <w:fldChar w:fldCharType="begin"/>
      </w:r>
      <w:r>
        <w:instrText xml:space="preserve"> PAGEREF _Toc202521529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Additional circumstances when payments may be made by instalments</w:t>
      </w:r>
      <w:r>
        <w:tab/>
      </w:r>
      <w:r>
        <w:fldChar w:fldCharType="begin"/>
      </w:r>
      <w:r>
        <w:instrText xml:space="preserve"> PAGEREF _Toc202521530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Instalments for interim rating</w:t>
      </w:r>
      <w:r>
        <w:tab/>
      </w:r>
      <w:r>
        <w:fldChar w:fldCharType="begin"/>
      </w:r>
      <w:r>
        <w:instrText xml:space="preserve"> PAGEREF _Toc202521531 \h </w:instrText>
      </w:r>
      <w:r>
        <w:fldChar w:fldCharType="separate"/>
      </w:r>
      <w:r>
        <w:t>51</w:t>
      </w:r>
      <w:r>
        <w:fldChar w:fldCharType="end"/>
      </w:r>
    </w:p>
    <w:p>
      <w:pPr>
        <w:pStyle w:val="TOC8"/>
        <w:rPr>
          <w:sz w:val="24"/>
          <w:szCs w:val="24"/>
        </w:rPr>
      </w:pPr>
      <w:r>
        <w:rPr>
          <w:szCs w:val="24"/>
        </w:rPr>
        <w:t>63</w:t>
      </w:r>
      <w:r>
        <w:rPr>
          <w:snapToGrid w:val="0"/>
          <w:szCs w:val="24"/>
        </w:rPr>
        <w:t>.</w:t>
      </w:r>
      <w:r>
        <w:rPr>
          <w:snapToGrid w:val="0"/>
          <w:szCs w:val="24"/>
        </w:rPr>
        <w:tab/>
        <w:t>Sale of property — effect on payment by instalment</w:t>
      </w:r>
      <w:r>
        <w:tab/>
      </w:r>
      <w:r>
        <w:fldChar w:fldCharType="begin"/>
      </w:r>
      <w:r>
        <w:instrText xml:space="preserve"> PAGEREF _Toc202521532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Due dates of instalments</w:t>
      </w:r>
      <w:r>
        <w:tab/>
      </w:r>
      <w:r>
        <w:fldChar w:fldCharType="begin"/>
      </w:r>
      <w:r>
        <w:instrText xml:space="preserve"> PAGEREF _Toc202521533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Payments of instalments due on public holidays</w:t>
      </w:r>
      <w:r>
        <w:tab/>
      </w:r>
      <w:r>
        <w:fldChar w:fldCharType="begin"/>
      </w:r>
      <w:r>
        <w:instrText xml:space="preserve"> PAGEREF _Toc202521534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Revocation of instalment option</w:t>
      </w:r>
      <w:r>
        <w:tab/>
      </w:r>
      <w:r>
        <w:fldChar w:fldCharType="begin"/>
      </w:r>
      <w:r>
        <w:instrText xml:space="preserve"> PAGEREF _Toc202521535 \h </w:instrText>
      </w:r>
      <w:r>
        <w:fldChar w:fldCharType="separate"/>
      </w:r>
      <w:r>
        <w:t>52</w:t>
      </w:r>
      <w:r>
        <w:fldChar w:fldCharType="end"/>
      </w:r>
    </w:p>
    <w:p>
      <w:pPr>
        <w:pStyle w:val="TOC8"/>
        <w:rPr>
          <w:sz w:val="24"/>
          <w:szCs w:val="24"/>
        </w:rPr>
      </w:pPr>
      <w:r>
        <w:rPr>
          <w:szCs w:val="24"/>
        </w:rPr>
        <w:t>67.</w:t>
      </w:r>
      <w:r>
        <w:rPr>
          <w:szCs w:val="24"/>
        </w:rPr>
        <w:tab/>
        <w:t>Additional charge for payment by instalments</w:t>
      </w:r>
      <w:r>
        <w:tab/>
      </w:r>
      <w:r>
        <w:fldChar w:fldCharType="begin"/>
      </w:r>
      <w:r>
        <w:instrText xml:space="preserve"> PAGEREF _Toc202521536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Maximum interest component in instalments — s. 6.45(4)(e)</w:t>
      </w:r>
      <w:r>
        <w:tab/>
      </w:r>
      <w:r>
        <w:fldChar w:fldCharType="begin"/>
      </w:r>
      <w:r>
        <w:instrText xml:space="preserve"> PAGEREF _Toc202521537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Calculating interest for instalments</w:t>
      </w:r>
      <w:r>
        <w:tab/>
      </w:r>
      <w:r>
        <w:fldChar w:fldCharType="begin"/>
      </w:r>
      <w:r>
        <w:instrText xml:space="preserve"> PAGEREF _Toc202521538 \h </w:instrText>
      </w:r>
      <w:r>
        <w:fldChar w:fldCharType="separate"/>
      </w:r>
      <w:r>
        <w:t>54</w:t>
      </w:r>
      <w:r>
        <w:fldChar w:fldCharType="end"/>
      </w:r>
    </w:p>
    <w:p>
      <w:pPr>
        <w:pStyle w:val="TOC8"/>
        <w:rPr>
          <w:sz w:val="24"/>
          <w:szCs w:val="24"/>
        </w:rPr>
      </w:pPr>
      <w:r>
        <w:rPr>
          <w:szCs w:val="24"/>
        </w:rPr>
        <w:t>69A.</w:t>
      </w:r>
      <w:r>
        <w:rPr>
          <w:szCs w:val="24"/>
        </w:rPr>
        <w:tab/>
        <w:t>Circumstances where concessions under section 6.47 may not be granted — s. 6.48</w:t>
      </w:r>
      <w:r>
        <w:tab/>
      </w:r>
      <w:r>
        <w:fldChar w:fldCharType="begin"/>
      </w:r>
      <w:r>
        <w:instrText xml:space="preserve"> PAGEREF _Toc202521539 \h </w:instrText>
      </w:r>
      <w:r>
        <w:fldChar w:fldCharType="separate"/>
      </w:r>
      <w:r>
        <w:t>54</w:t>
      </w:r>
      <w:r>
        <w:fldChar w:fldCharType="end"/>
      </w:r>
    </w:p>
    <w:p>
      <w:pPr>
        <w:pStyle w:val="TOC8"/>
        <w:rPr>
          <w:sz w:val="24"/>
          <w:szCs w:val="24"/>
        </w:rPr>
      </w:pPr>
      <w:r>
        <w:rPr>
          <w:szCs w:val="24"/>
        </w:rPr>
        <w:t>70</w:t>
      </w:r>
      <w:r>
        <w:rPr>
          <w:snapToGrid w:val="0"/>
          <w:szCs w:val="24"/>
        </w:rPr>
        <w:t>.</w:t>
      </w:r>
      <w:r>
        <w:rPr>
          <w:snapToGrid w:val="0"/>
          <w:szCs w:val="24"/>
        </w:rPr>
        <w:tab/>
        <w:t>Maximum rate of interest on overdue rates and service charges — s. </w:t>
      </w:r>
      <w:r>
        <w:rPr>
          <w:szCs w:val="24"/>
        </w:rPr>
        <w:t>6</w:t>
      </w:r>
      <w:r>
        <w:rPr>
          <w:snapToGrid w:val="0"/>
          <w:szCs w:val="24"/>
        </w:rPr>
        <w:t>.51(2)</w:t>
      </w:r>
      <w:r>
        <w:tab/>
      </w:r>
      <w:r>
        <w:fldChar w:fldCharType="begin"/>
      </w:r>
      <w:r>
        <w:instrText xml:space="preserve"> PAGEREF _Toc202521540 \h </w:instrText>
      </w:r>
      <w:r>
        <w:fldChar w:fldCharType="separate"/>
      </w:r>
      <w:r>
        <w:t>54</w:t>
      </w:r>
      <w:r>
        <w:fldChar w:fldCharType="end"/>
      </w:r>
    </w:p>
    <w:p>
      <w:pPr>
        <w:pStyle w:val="TOC8"/>
        <w:rPr>
          <w:sz w:val="24"/>
          <w:szCs w:val="24"/>
        </w:rPr>
      </w:pPr>
      <w:r>
        <w:rPr>
          <w:szCs w:val="24"/>
        </w:rPr>
        <w:t>71</w:t>
      </w:r>
      <w:r>
        <w:rPr>
          <w:snapToGrid w:val="0"/>
          <w:szCs w:val="24"/>
        </w:rPr>
        <w:t>.</w:t>
      </w:r>
      <w:r>
        <w:rPr>
          <w:snapToGrid w:val="0"/>
          <w:szCs w:val="24"/>
        </w:rPr>
        <w:tab/>
        <w:t>Calculating interest on overdue rates and service charges</w:t>
      </w:r>
      <w:r>
        <w:tab/>
      </w:r>
      <w:r>
        <w:fldChar w:fldCharType="begin"/>
      </w:r>
      <w:r>
        <w:instrText xml:space="preserve"> PAGEREF _Toc202521541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Form of notification of local government taking possession of land — s. </w:t>
      </w:r>
      <w:r>
        <w:rPr>
          <w:szCs w:val="24"/>
        </w:rPr>
        <w:t>6</w:t>
      </w:r>
      <w:r>
        <w:rPr>
          <w:snapToGrid w:val="0"/>
          <w:szCs w:val="24"/>
        </w:rPr>
        <w:t>.64(2)</w:t>
      </w:r>
      <w:r>
        <w:tab/>
      </w:r>
      <w:r>
        <w:fldChar w:fldCharType="begin"/>
      </w:r>
      <w:r>
        <w:instrText xml:space="preserve"> PAGEREF _Toc202521542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Form of notice to be affixed to land when local government takes possession of land — s. </w:t>
      </w:r>
      <w:r>
        <w:rPr>
          <w:szCs w:val="24"/>
        </w:rPr>
        <w:t>6</w:t>
      </w:r>
      <w:r>
        <w:rPr>
          <w:snapToGrid w:val="0"/>
          <w:szCs w:val="24"/>
        </w:rPr>
        <w:t>.64(2)</w:t>
      </w:r>
      <w:r>
        <w:tab/>
      </w:r>
      <w:r>
        <w:fldChar w:fldCharType="begin"/>
      </w:r>
      <w:r>
        <w:instrText xml:space="preserve"> PAGEREF _Toc202521543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Exercise of power of sale of land for non</w:t>
      </w:r>
      <w:r>
        <w:rPr>
          <w:snapToGrid w:val="0"/>
          <w:szCs w:val="24"/>
        </w:rPr>
        <w:noBreakHyphen/>
        <w:t>payment of rates etc. — s. </w:t>
      </w:r>
      <w:r>
        <w:rPr>
          <w:szCs w:val="24"/>
        </w:rPr>
        <w:t>6</w:t>
      </w:r>
      <w:r>
        <w:rPr>
          <w:snapToGrid w:val="0"/>
          <w:szCs w:val="24"/>
        </w:rPr>
        <w:t>.68(3)</w:t>
      </w:r>
      <w:r>
        <w:tab/>
      </w:r>
      <w:r>
        <w:fldChar w:fldCharType="begin"/>
      </w:r>
      <w:r>
        <w:instrText xml:space="preserve"> PAGEREF _Toc202521544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Statewide public notice of exercise of power of sale of land for non</w:t>
      </w:r>
      <w:r>
        <w:rPr>
          <w:snapToGrid w:val="0"/>
          <w:szCs w:val="24"/>
        </w:rPr>
        <w:noBreakHyphen/>
        <w:t>payment of rates etc. — s. 6.68(3) and Sch. 6.3 item 2(1)(a)</w:t>
      </w:r>
      <w:r>
        <w:tab/>
      </w:r>
      <w:r>
        <w:fldChar w:fldCharType="begin"/>
      </w:r>
      <w:r>
        <w:instrText xml:space="preserve"> PAGEREF _Toc202521545 \h </w:instrText>
      </w:r>
      <w:r>
        <w:fldChar w:fldCharType="separate"/>
      </w:r>
      <w:r>
        <w:t>55</w:t>
      </w:r>
      <w:r>
        <w:fldChar w:fldCharType="end"/>
      </w:r>
    </w:p>
    <w:p>
      <w:pPr>
        <w:pStyle w:val="TOC8"/>
        <w:rPr>
          <w:sz w:val="24"/>
          <w:szCs w:val="24"/>
        </w:rPr>
      </w:pPr>
      <w:r>
        <w:rPr>
          <w:szCs w:val="24"/>
        </w:rPr>
        <w:t>76</w:t>
      </w:r>
      <w:r>
        <w:rPr>
          <w:snapToGrid w:val="0"/>
          <w:szCs w:val="24"/>
        </w:rPr>
        <w:t>.</w:t>
      </w:r>
      <w:r>
        <w:rPr>
          <w:snapToGrid w:val="0"/>
          <w:szCs w:val="24"/>
        </w:rPr>
        <w:tab/>
        <w:t>Payment of rates etc. to stay sale of land for non</w:t>
      </w:r>
      <w:r>
        <w:rPr>
          <w:snapToGrid w:val="0"/>
          <w:szCs w:val="24"/>
        </w:rPr>
        <w:noBreakHyphen/>
        <w:t>payment</w:t>
      </w:r>
      <w:r>
        <w:tab/>
      </w:r>
      <w:r>
        <w:fldChar w:fldCharType="begin"/>
      </w:r>
      <w:r>
        <w:instrText xml:space="preserve"> PAGEREF _Toc202521546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Procedure prior to application for revestment of land in Crown for non</w:t>
      </w:r>
      <w:r>
        <w:rPr>
          <w:snapToGrid w:val="0"/>
          <w:szCs w:val="24"/>
        </w:rPr>
        <w:noBreakHyphen/>
        <w:t>payment of rates etc.</w:t>
      </w:r>
      <w:r>
        <w:tab/>
      </w:r>
      <w:r>
        <w:fldChar w:fldCharType="begin"/>
      </w:r>
      <w:r>
        <w:instrText xml:space="preserve"> PAGEREF _Toc202521547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Revestment of land in Crown for non</w:t>
      </w:r>
      <w:r>
        <w:rPr>
          <w:snapToGrid w:val="0"/>
          <w:szCs w:val="24"/>
        </w:rPr>
        <w:noBreakHyphen/>
        <w:t>payment of rates etc. — s. </w:t>
      </w:r>
      <w:r>
        <w:rPr>
          <w:szCs w:val="24"/>
        </w:rPr>
        <w:t>6</w:t>
      </w:r>
      <w:r>
        <w:rPr>
          <w:snapToGrid w:val="0"/>
          <w:szCs w:val="24"/>
        </w:rPr>
        <w:t>.74 and Sch. 6.3 item 8(6)</w:t>
      </w:r>
      <w:r>
        <w:tab/>
      </w:r>
      <w:r>
        <w:fldChar w:fldCharType="begin"/>
      </w:r>
      <w:r>
        <w:instrText xml:space="preserve"> PAGEREF _Toc202521548 \h </w:instrText>
      </w:r>
      <w:r>
        <w:fldChar w:fldCharType="separate"/>
      </w:r>
      <w:r>
        <w:t>57</w:t>
      </w:r>
      <w:r>
        <w:fldChar w:fldCharType="end"/>
      </w:r>
    </w:p>
    <w:p>
      <w:pPr>
        <w:pStyle w:val="TOC2"/>
        <w:tabs>
          <w:tab w:val="right" w:leader="dot" w:pos="7086"/>
        </w:tabs>
        <w:rPr>
          <w:b w:val="0"/>
          <w:sz w:val="24"/>
          <w:szCs w:val="24"/>
        </w:rPr>
      </w:pPr>
      <w:r>
        <w:rPr>
          <w:szCs w:val="30"/>
        </w:rPr>
        <w:t>Part 6 — Transitional matters</w:t>
      </w:r>
    </w:p>
    <w:p>
      <w:pPr>
        <w:pStyle w:val="TOC8"/>
        <w:rPr>
          <w:sz w:val="24"/>
          <w:szCs w:val="24"/>
        </w:rPr>
      </w:pPr>
      <w:r>
        <w:rPr>
          <w:szCs w:val="24"/>
        </w:rPr>
        <w:t>79.</w:t>
      </w:r>
      <w:r>
        <w:rPr>
          <w:szCs w:val="24"/>
        </w:rPr>
        <w:tab/>
      </w:r>
      <w:r>
        <w:rPr>
          <w:i/>
          <w:szCs w:val="24"/>
        </w:rPr>
        <w:t>Local Government (Financial Management) Amendment Regulations 2008</w:t>
      </w:r>
      <w:r>
        <w:rPr>
          <w:iCs/>
          <w:szCs w:val="24"/>
        </w:rPr>
        <w:t>, provisions for</w:t>
      </w:r>
      <w:r>
        <w:tab/>
      </w:r>
      <w:r>
        <w:fldChar w:fldCharType="begin"/>
      </w:r>
      <w:r>
        <w:instrText xml:space="preserve"> PAGEREF _Toc202521550 \h </w:instrText>
      </w:r>
      <w:r>
        <w:fldChar w:fldCharType="separate"/>
      </w:r>
      <w:r>
        <w:t>58</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Part 1 </w:t>
      </w:r>
      <w:r>
        <w:rPr>
          <w:snapToGrid w:val="0"/>
          <w:szCs w:val="24"/>
        </w:rPr>
        <w:t>— </w:t>
      </w:r>
      <w:r>
        <w:rPr>
          <w:szCs w:val="24"/>
        </w:rPr>
        <w:t>Local government program titles</w:t>
      </w:r>
    </w:p>
    <w:p>
      <w:pPr>
        <w:pStyle w:val="TOC4"/>
        <w:tabs>
          <w:tab w:val="right" w:leader="dot" w:pos="7086"/>
        </w:tabs>
        <w:rPr>
          <w:b w:val="0"/>
          <w:sz w:val="24"/>
          <w:szCs w:val="24"/>
        </w:rPr>
      </w:pPr>
      <w:r>
        <w:rPr>
          <w:szCs w:val="24"/>
        </w:rPr>
        <w:t>Part 2</w:t>
      </w:r>
      <w:r>
        <w:rPr>
          <w:b w:val="0"/>
          <w:szCs w:val="24"/>
        </w:rPr>
        <w:t> — </w:t>
      </w:r>
      <w:r>
        <w:rPr>
          <w:szCs w:val="24"/>
        </w:rPr>
        <w:t>Nature or type classifications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_Toc202521556 \h </w:instrText>
      </w:r>
      <w:r>
        <w:fldChar w:fldCharType="separate"/>
      </w:r>
      <w:r>
        <w:t>70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92786980"/>
      <w:bookmarkStart w:id="2" w:name="_Toc92787068"/>
      <w:bookmarkStart w:id="3" w:name="_Toc92787156"/>
      <w:bookmarkStart w:id="4" w:name="_Toc92787244"/>
      <w:bookmarkStart w:id="5" w:name="_Toc92964329"/>
      <w:bookmarkStart w:id="6" w:name="_Toc93220329"/>
      <w:bookmarkStart w:id="7" w:name="_Toc107800302"/>
      <w:bookmarkStart w:id="8" w:name="_Toc125779416"/>
      <w:bookmarkStart w:id="9" w:name="_Toc127076073"/>
      <w:bookmarkStart w:id="10" w:name="_Toc127246592"/>
      <w:bookmarkStart w:id="11" w:name="_Toc128203479"/>
      <w:bookmarkStart w:id="12" w:name="_Toc128280050"/>
      <w:bookmarkStart w:id="13" w:name="_Toc202521462"/>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55996720"/>
      <w:bookmarkStart w:id="15" w:name="_Toc92787157"/>
      <w:bookmarkStart w:id="16" w:name="_Toc202521463"/>
      <w:r>
        <w:rPr>
          <w:rStyle w:val="CharSectno"/>
        </w:rPr>
        <w:t>1</w:t>
      </w:r>
      <w:r>
        <w:rPr>
          <w:snapToGrid w:val="0"/>
        </w:rPr>
        <w:t>.</w:t>
      </w:r>
      <w:r>
        <w:rPr>
          <w:snapToGrid w:val="0"/>
        </w:rPr>
        <w:tab/>
        <w:t>Citation</w:t>
      </w:r>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17" w:name="_Toc455996721"/>
      <w:bookmarkStart w:id="18" w:name="_Toc92787158"/>
      <w:bookmarkStart w:id="19" w:name="_Toc202521464"/>
      <w:r>
        <w:rPr>
          <w:rStyle w:val="CharSectno"/>
        </w:rPr>
        <w:t>2</w:t>
      </w:r>
      <w:r>
        <w:rPr>
          <w:snapToGrid w:val="0"/>
        </w:rPr>
        <w:t>.</w:t>
      </w:r>
      <w:r>
        <w:rPr>
          <w:snapToGrid w:val="0"/>
        </w:rPr>
        <w:tab/>
        <w:t>Commencement</w:t>
      </w:r>
      <w:bookmarkEnd w:id="17"/>
      <w:bookmarkEnd w:id="18"/>
      <w:bookmarkEnd w:id="1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0" w:name="_Toc455996722"/>
      <w:bookmarkStart w:id="21" w:name="_Toc92787159"/>
      <w:bookmarkStart w:id="22" w:name="_Toc202521465"/>
      <w:r>
        <w:rPr>
          <w:rStyle w:val="CharSectno"/>
        </w:rPr>
        <w:t>3</w:t>
      </w:r>
      <w:r>
        <w:rPr>
          <w:snapToGrid w:val="0"/>
        </w:rPr>
        <w:t>.</w:t>
      </w:r>
      <w:r>
        <w:rPr>
          <w:snapToGrid w:val="0"/>
        </w:rPr>
        <w:tab/>
        <w:t>Interpretation</w:t>
      </w:r>
      <w:bookmarkEnd w:id="20"/>
      <w:bookmarkEnd w:id="21"/>
      <w:bookmarkEnd w:id="2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Subsection"/>
      </w:pPr>
      <w:r>
        <w:tab/>
        <w:t>(2)</w:t>
      </w:r>
      <w:r>
        <w:tab/>
        <w:t>If a term is given a meaning in the AAS, it has the same meaning in these regulations unless the contrary intention appears.</w:t>
      </w:r>
    </w:p>
    <w:p>
      <w:pPr>
        <w:pStyle w:val="Ednotesubsection"/>
      </w:pPr>
      <w:r>
        <w:tab/>
        <w:t>[(3)</w:t>
      </w:r>
      <w:r>
        <w:tab/>
        <w:t>deleted]</w:t>
      </w:r>
    </w:p>
    <w:p>
      <w:pPr>
        <w:pStyle w:val="Footnotesection"/>
      </w:pPr>
      <w:r>
        <w:tab/>
        <w:t>[Regulation 3 amended in Gazette 20 Jun 1997 p. 2838; 31 Mar 2005 p. 1047; 20 Jun 2008 p. 2720-1.]</w:t>
      </w:r>
    </w:p>
    <w:p>
      <w:pPr>
        <w:pStyle w:val="Heading5"/>
      </w:pPr>
      <w:bookmarkStart w:id="23" w:name="_Toc202521466"/>
      <w:bookmarkStart w:id="24" w:name="_Toc92786985"/>
      <w:bookmarkStart w:id="25" w:name="_Toc92787073"/>
      <w:bookmarkStart w:id="26" w:name="_Toc92787161"/>
      <w:bookmarkStart w:id="27" w:name="_Toc92787249"/>
      <w:bookmarkStart w:id="28" w:name="_Toc92964334"/>
      <w:bookmarkStart w:id="29" w:name="_Toc93220334"/>
      <w:bookmarkStart w:id="30" w:name="_Toc107800307"/>
      <w:bookmarkStart w:id="31" w:name="_Toc125779421"/>
      <w:bookmarkStart w:id="32" w:name="_Toc127076078"/>
      <w:bookmarkStart w:id="33" w:name="_Toc127246597"/>
      <w:bookmarkStart w:id="34" w:name="_Toc128203484"/>
      <w:bookmarkStart w:id="35" w:name="_Toc128280055"/>
      <w:r>
        <w:rPr>
          <w:rStyle w:val="CharSectno"/>
        </w:rPr>
        <w:t>4</w:t>
      </w:r>
      <w:r>
        <w:t>.</w:t>
      </w:r>
      <w:r>
        <w:tab/>
        <w:t>Effect of AAS</w:t>
      </w:r>
      <w:bookmarkEnd w:id="23"/>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36" w:name="_Toc202521467"/>
      <w:r>
        <w:rPr>
          <w:rStyle w:val="CharPartNo"/>
        </w:rPr>
        <w:t>Part 2</w:t>
      </w:r>
      <w:r>
        <w:rPr>
          <w:rStyle w:val="CharDivNo"/>
        </w:rPr>
        <w:t> </w:t>
      </w:r>
      <w:r>
        <w:t>—</w:t>
      </w:r>
      <w:r>
        <w:rPr>
          <w:rStyle w:val="CharDivText"/>
        </w:rPr>
        <w:t> </w:t>
      </w:r>
      <w:r>
        <w:rPr>
          <w:rStyle w:val="CharPartText"/>
        </w:rPr>
        <w:t>General financial management — s. 6.10</w:t>
      </w:r>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202521468"/>
      <w:bookmarkStart w:id="38" w:name="_Toc455996724"/>
      <w:bookmarkStart w:id="39" w:name="_Toc92787162"/>
      <w:r>
        <w:rPr>
          <w:rStyle w:val="CharSectno"/>
        </w:rPr>
        <w:t>5A</w:t>
      </w:r>
      <w:r>
        <w:t>.</w:t>
      </w:r>
      <w:r>
        <w:tab/>
        <w:t>Local governments to comply with AAS</w:t>
      </w:r>
      <w:bookmarkEnd w:id="37"/>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40" w:name="_Toc202521469"/>
      <w:r>
        <w:rPr>
          <w:rStyle w:val="CharSectno"/>
        </w:rPr>
        <w:t>5</w:t>
      </w:r>
      <w:r>
        <w:rPr>
          <w:snapToGrid w:val="0"/>
        </w:rPr>
        <w:t>.</w:t>
      </w:r>
      <w:r>
        <w:rPr>
          <w:snapToGrid w:val="0"/>
        </w:rPr>
        <w:tab/>
        <w:t>Financial management duties of the CEO</w:t>
      </w:r>
      <w:bookmarkEnd w:id="38"/>
      <w:bookmarkEnd w:id="39"/>
      <w:bookmarkEnd w:id="40"/>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authorisation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41" w:name="_Toc455996725"/>
      <w:bookmarkStart w:id="42" w:name="_Toc92787163"/>
      <w:bookmarkStart w:id="43" w:name="_Toc202521470"/>
      <w:r>
        <w:rPr>
          <w:rStyle w:val="CharSectno"/>
        </w:rPr>
        <w:t>6</w:t>
      </w:r>
      <w:r>
        <w:rPr>
          <w:snapToGrid w:val="0"/>
        </w:rPr>
        <w:t>.</w:t>
      </w:r>
      <w:r>
        <w:rPr>
          <w:snapToGrid w:val="0"/>
        </w:rPr>
        <w:tab/>
        <w:t>Audits and performance reviews</w:t>
      </w:r>
      <w:bookmarkEnd w:id="41"/>
      <w:r>
        <w:rPr>
          <w:snapToGrid w:val="0"/>
        </w:rPr>
        <w:t xml:space="preserve"> to be independent</w:t>
      </w:r>
      <w:bookmarkEnd w:id="42"/>
      <w:bookmarkEnd w:id="43"/>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44" w:name="_Toc455996726"/>
      <w:bookmarkStart w:id="45" w:name="_Toc92787164"/>
      <w:bookmarkStart w:id="46" w:name="_Toc202521471"/>
      <w:r>
        <w:rPr>
          <w:rStyle w:val="CharSectno"/>
        </w:rPr>
        <w:t>7</w:t>
      </w:r>
      <w:r>
        <w:rPr>
          <w:snapToGrid w:val="0"/>
        </w:rPr>
        <w:t>.</w:t>
      </w:r>
      <w:r>
        <w:rPr>
          <w:snapToGrid w:val="0"/>
        </w:rPr>
        <w:tab/>
        <w:t>No separate ward accounts to be kept</w:t>
      </w:r>
      <w:bookmarkEnd w:id="44"/>
      <w:bookmarkEnd w:id="45"/>
      <w:bookmarkEnd w:id="46"/>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47" w:name="_Toc455996727"/>
      <w:bookmarkStart w:id="48" w:name="_Toc92787165"/>
      <w:bookmarkStart w:id="49" w:name="_Toc202521472"/>
      <w:r>
        <w:rPr>
          <w:rStyle w:val="CharSectno"/>
        </w:rPr>
        <w:t>8</w:t>
      </w:r>
      <w:r>
        <w:rPr>
          <w:snapToGrid w:val="0"/>
        </w:rPr>
        <w:t>.</w:t>
      </w:r>
      <w:r>
        <w:rPr>
          <w:snapToGrid w:val="0"/>
        </w:rPr>
        <w:tab/>
        <w:t>Bank accounts</w:t>
      </w:r>
      <w:bookmarkEnd w:id="47"/>
      <w:bookmarkEnd w:id="48"/>
      <w:bookmarkEnd w:id="49"/>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(d) or (e));</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w:t>
      </w:r>
    </w:p>
    <w:p>
      <w:pPr>
        <w:pStyle w:val="Heading5"/>
        <w:rPr>
          <w:snapToGrid w:val="0"/>
        </w:rPr>
      </w:pPr>
      <w:bookmarkStart w:id="50" w:name="_Toc455996728"/>
      <w:bookmarkStart w:id="51" w:name="_Toc92787166"/>
      <w:bookmarkStart w:id="52" w:name="_Toc202521473"/>
      <w:r>
        <w:rPr>
          <w:rStyle w:val="CharSectno"/>
        </w:rPr>
        <w:t>9</w:t>
      </w:r>
      <w:r>
        <w:rPr>
          <w:snapToGrid w:val="0"/>
        </w:rPr>
        <w:t>.</w:t>
      </w:r>
      <w:r>
        <w:rPr>
          <w:snapToGrid w:val="0"/>
        </w:rPr>
        <w:tab/>
        <w:t>Accounting for trading undertakings and major land transactions</w:t>
      </w:r>
      <w:bookmarkEnd w:id="50"/>
      <w:bookmarkEnd w:id="51"/>
      <w:bookmarkEnd w:id="52"/>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53" w:name="_Toc455996729"/>
      <w:bookmarkStart w:id="54" w:name="_Toc92787167"/>
      <w:bookmarkStart w:id="55" w:name="_Toc202521474"/>
      <w:r>
        <w:rPr>
          <w:rStyle w:val="CharSectno"/>
        </w:rPr>
        <w:t>10</w:t>
      </w:r>
      <w:r>
        <w:rPr>
          <w:snapToGrid w:val="0"/>
        </w:rPr>
        <w:t>.</w:t>
      </w:r>
      <w:r>
        <w:rPr>
          <w:snapToGrid w:val="0"/>
        </w:rPr>
        <w:tab/>
        <w:t>Receipt of money</w:t>
      </w:r>
      <w:bookmarkEnd w:id="53"/>
      <w:bookmarkEnd w:id="54"/>
      <w:bookmarkEnd w:id="5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56" w:name="_Toc455996730"/>
      <w:bookmarkStart w:id="57" w:name="_Toc92787168"/>
      <w:bookmarkStart w:id="58" w:name="_Toc202521475"/>
      <w:r>
        <w:rPr>
          <w:rStyle w:val="CharSectno"/>
        </w:rPr>
        <w:t>11</w:t>
      </w:r>
      <w:r>
        <w:rPr>
          <w:snapToGrid w:val="0"/>
        </w:rPr>
        <w:t>.</w:t>
      </w:r>
      <w:r>
        <w:rPr>
          <w:snapToGrid w:val="0"/>
        </w:rPr>
        <w:tab/>
        <w:t>Payment of accounts</w:t>
      </w:r>
      <w:bookmarkEnd w:id="56"/>
      <w:bookmarkEnd w:id="57"/>
      <w:bookmarkEnd w:id="58"/>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59" w:name="_Toc455996731"/>
      <w:bookmarkStart w:id="60" w:name="_Toc92787169"/>
      <w:bookmarkStart w:id="61" w:name="_Toc202521476"/>
      <w:r>
        <w:rPr>
          <w:rStyle w:val="CharSectno"/>
        </w:rPr>
        <w:t>12</w:t>
      </w:r>
      <w:r>
        <w:rPr>
          <w:snapToGrid w:val="0"/>
        </w:rPr>
        <w:t>.</w:t>
      </w:r>
      <w:r>
        <w:rPr>
          <w:snapToGrid w:val="0"/>
        </w:rPr>
        <w:tab/>
        <w:t>Payments from municipal fund or trust fund</w:t>
      </w:r>
      <w:bookmarkEnd w:id="59"/>
      <w:bookmarkEnd w:id="60"/>
      <w:bookmarkEnd w:id="6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62" w:name="_Toc455996732"/>
      <w:bookmarkStart w:id="63" w:name="_Toc92787170"/>
      <w:bookmarkStart w:id="64" w:name="_Toc202521477"/>
      <w:r>
        <w:rPr>
          <w:rStyle w:val="CharSectno"/>
        </w:rPr>
        <w:t>13</w:t>
      </w:r>
      <w:r>
        <w:rPr>
          <w:snapToGrid w:val="0"/>
        </w:rPr>
        <w:t>.</w:t>
      </w:r>
      <w:r>
        <w:rPr>
          <w:snapToGrid w:val="0"/>
        </w:rPr>
        <w:tab/>
        <w:t>Lists of accounts</w:t>
      </w:r>
      <w:bookmarkEnd w:id="62"/>
      <w:bookmarkEnd w:id="63"/>
      <w:bookmarkEnd w:id="64"/>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p>
    <w:p>
      <w:pPr>
        <w:pStyle w:val="Subsection"/>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pPr>
      <w:bookmarkStart w:id="65" w:name="_Toc202521478"/>
      <w:bookmarkStart w:id="66" w:name="_Toc455996734"/>
      <w:bookmarkStart w:id="67" w:name="_Toc92787172"/>
      <w:r>
        <w:rPr>
          <w:rStyle w:val="CharSectno"/>
        </w:rPr>
        <w:t>14</w:t>
      </w:r>
      <w:r>
        <w:t>.</w:t>
      </w:r>
      <w:r>
        <w:tab/>
        <w:t>Disclosure requirements for operating revenue and expenses</w:t>
      </w:r>
      <w:bookmarkEnd w:id="65"/>
    </w:p>
    <w:p>
      <w:pPr>
        <w:pStyle w:val="Subsection"/>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rPr>
          <w:snapToGrid w:val="0"/>
        </w:rPr>
      </w:pPr>
      <w:bookmarkStart w:id="68" w:name="_Toc202521479"/>
      <w:r>
        <w:rPr>
          <w:rStyle w:val="CharSectno"/>
        </w:rPr>
        <w:t>15</w:t>
      </w:r>
      <w:r>
        <w:rPr>
          <w:snapToGrid w:val="0"/>
        </w:rPr>
        <w:t>.</w:t>
      </w:r>
      <w:r>
        <w:rPr>
          <w:snapToGrid w:val="0"/>
        </w:rPr>
        <w:tab/>
        <w:t>Rounding off figures</w:t>
      </w:r>
      <w:bookmarkEnd w:id="66"/>
      <w:bookmarkEnd w:id="67"/>
      <w:bookmarkEnd w:id="68"/>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Jun 1997 p. 2839.]</w:t>
      </w:r>
    </w:p>
    <w:p>
      <w:pPr>
        <w:pStyle w:val="Heading5"/>
        <w:rPr>
          <w:snapToGrid w:val="0"/>
        </w:rPr>
      </w:pPr>
      <w:bookmarkStart w:id="69" w:name="_Toc455996735"/>
      <w:bookmarkStart w:id="70" w:name="_Toc92787173"/>
      <w:bookmarkStart w:id="71" w:name="_Toc202521480"/>
      <w:r>
        <w:rPr>
          <w:rStyle w:val="CharSectno"/>
        </w:rPr>
        <w:t>16</w:t>
      </w:r>
      <w:r>
        <w:rPr>
          <w:snapToGrid w:val="0"/>
        </w:rPr>
        <w:t>.</w:t>
      </w:r>
      <w:r>
        <w:rPr>
          <w:snapToGrid w:val="0"/>
        </w:rPr>
        <w:tab/>
        <w:t>Accounting for land under local government’s control</w:t>
      </w:r>
      <w:bookmarkEnd w:id="69"/>
      <w:bookmarkEnd w:id="70"/>
      <w:bookmarkEnd w:id="71"/>
    </w:p>
    <w:p>
      <w:pPr>
        <w:pStyle w:val="Subsection"/>
        <w:rPr>
          <w:snapToGrid w:val="0"/>
        </w:rPr>
      </w:pPr>
      <w:r>
        <w:rPr>
          <w:snapToGrid w:val="0"/>
        </w:rPr>
        <w:tab/>
      </w:r>
      <w:r>
        <w:rPr>
          <w:snapToGrid w:val="0"/>
        </w:rPr>
        <w:tab/>
        <w:t>The annual financial report of a local government —</w:t>
      </w:r>
    </w:p>
    <w:p>
      <w:pPr>
        <w:pStyle w:val="Indenta"/>
        <w:rPr>
          <w:snapToGrid w:val="0"/>
        </w:rPr>
      </w:pPr>
      <w:r>
        <w:rPr>
          <w:snapToGrid w:val="0"/>
        </w:rPr>
        <w:tab/>
        <w:t>(a)</w:t>
      </w:r>
      <w:r>
        <w:rPr>
          <w:snapToGrid w:val="0"/>
        </w:rPr>
        <w:tab/>
        <w:t>is not to include as an asset —</w:t>
      </w:r>
    </w:p>
    <w:p>
      <w:pPr>
        <w:pStyle w:val="Indenti"/>
        <w:rPr>
          <w:snapToGrid w:val="0"/>
        </w:rPr>
      </w:pPr>
      <w:r>
        <w:rPr>
          <w:snapToGrid w:val="0"/>
        </w:rPr>
        <w:tab/>
        <w:t>(i)</w:t>
      </w:r>
      <w:r>
        <w:rPr>
          <w:snapToGrid w:val="0"/>
        </w:rPr>
        <w:tab/>
        <w:t>Crown land that is a public thoroughfare, the responsibility for managing which is vested in the local government; or</w:t>
      </w:r>
    </w:p>
    <w:p>
      <w:pPr>
        <w:pStyle w:val="Indenti"/>
        <w:rPr>
          <w:snapToGrid w:val="0"/>
        </w:rPr>
      </w:pPr>
      <w:r>
        <w:rPr>
          <w:snapToGrid w:val="0"/>
        </w:rPr>
        <w:tab/>
        <w:t>(ii)</w:t>
      </w:r>
      <w:r>
        <w:rPr>
          <w:snapToGrid w:val="0"/>
        </w:rPr>
        <w:tab/>
        <w:t>land that is not owned by the local government but which is under the control or management of the local government (whether that land is Crown land or is owned by another person, or not);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include as an asset a structure or any other improvement placed by the local government on land referred to in paragraph (a).</w:t>
      </w:r>
    </w:p>
    <w:p>
      <w:pPr>
        <w:pStyle w:val="Heading5"/>
        <w:rPr>
          <w:snapToGrid w:val="0"/>
        </w:rPr>
      </w:pPr>
      <w:bookmarkStart w:id="72" w:name="_Toc455996736"/>
      <w:bookmarkStart w:id="73" w:name="_Toc92787174"/>
      <w:bookmarkStart w:id="74" w:name="_Toc202521481"/>
      <w:r>
        <w:rPr>
          <w:rStyle w:val="CharSectno"/>
        </w:rPr>
        <w:t>17</w:t>
      </w:r>
      <w:r>
        <w:rPr>
          <w:snapToGrid w:val="0"/>
        </w:rPr>
        <w:t>.</w:t>
      </w:r>
      <w:r>
        <w:rPr>
          <w:snapToGrid w:val="0"/>
        </w:rPr>
        <w:tab/>
        <w:t>Reserve accounts</w:t>
      </w:r>
      <w:bookmarkEnd w:id="72"/>
      <w:bookmarkEnd w:id="73"/>
      <w:bookmarkEnd w:id="74"/>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Jun 1997 p. 2839.]</w:t>
      </w:r>
    </w:p>
    <w:p>
      <w:pPr>
        <w:pStyle w:val="Heading5"/>
        <w:rPr>
          <w:snapToGrid w:val="0"/>
        </w:rPr>
      </w:pPr>
      <w:bookmarkStart w:id="75" w:name="_Toc455996737"/>
      <w:bookmarkStart w:id="76" w:name="_Toc92787175"/>
      <w:bookmarkStart w:id="77" w:name="_Toc202521482"/>
      <w:r>
        <w:rPr>
          <w:rStyle w:val="CharSectno"/>
        </w:rPr>
        <w:t>18</w:t>
      </w:r>
      <w:r>
        <w:rPr>
          <w:snapToGrid w:val="0"/>
        </w:rPr>
        <w:t>.</w:t>
      </w:r>
      <w:r>
        <w:rPr>
          <w:snapToGrid w:val="0"/>
        </w:rPr>
        <w:tab/>
        <w:t>Circumstances in which local public notice not required for change of use of money in reserve account — s. </w:t>
      </w:r>
      <w:r>
        <w:rPr>
          <w:rStyle w:val="CharSectno"/>
        </w:rPr>
        <w:t>6</w:t>
      </w:r>
      <w:r>
        <w:rPr>
          <w:snapToGrid w:val="0"/>
        </w:rPr>
        <w:t>.11(3)(b)</w:t>
      </w:r>
      <w:bookmarkEnd w:id="75"/>
      <w:bookmarkEnd w:id="76"/>
      <w:bookmarkEnd w:id="77"/>
    </w:p>
    <w:p>
      <w:pPr>
        <w:pStyle w:val="Subsection"/>
        <w:rPr>
          <w:snapToGrid w:val="0"/>
        </w:rPr>
      </w:pPr>
      <w:r>
        <w:rPr>
          <w:snapToGrid w:val="0"/>
        </w:rPr>
        <w:tab/>
      </w:r>
      <w:r>
        <w:rPr>
          <w:snapToGrid w:val="0"/>
        </w:rPr>
        <w:tab/>
        <w:t>A local government is not required to give local public notice of a proposed change of use of money in a reserve account —</w:t>
      </w:r>
    </w:p>
    <w:p>
      <w:pPr>
        <w:pStyle w:val="Indenta"/>
        <w:rPr>
          <w:snapToGrid w:val="0"/>
        </w:rPr>
      </w:pPr>
      <w:r>
        <w:rPr>
          <w:snapToGrid w:val="0"/>
        </w:rPr>
        <w:tab/>
        <w:t>(a)</w:t>
      </w:r>
      <w:r>
        <w:rPr>
          <w:snapToGrid w:val="0"/>
        </w:rPr>
        <w:tab/>
        <w:t>where the money is to be used to meet expenditure authorised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78" w:name="_Toc455996738"/>
      <w:bookmarkStart w:id="79" w:name="_Toc92787176"/>
      <w:bookmarkStart w:id="80" w:name="_Toc202521483"/>
      <w:r>
        <w:rPr>
          <w:rStyle w:val="CharSectno"/>
        </w:rPr>
        <w:t>19</w:t>
      </w:r>
      <w:r>
        <w:rPr>
          <w:snapToGrid w:val="0"/>
        </w:rPr>
        <w:t>.</w:t>
      </w:r>
      <w:r>
        <w:rPr>
          <w:snapToGrid w:val="0"/>
        </w:rPr>
        <w:tab/>
        <w:t>Management of investments</w:t>
      </w:r>
      <w:bookmarkEnd w:id="78"/>
      <w:bookmarkEnd w:id="79"/>
      <w:bookmarkEnd w:id="80"/>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81" w:name="_Toc455996739"/>
      <w:bookmarkStart w:id="82" w:name="_Toc92787177"/>
      <w:bookmarkStart w:id="83" w:name="_Toc202521484"/>
      <w:r>
        <w:rPr>
          <w:rStyle w:val="CharSectno"/>
        </w:rPr>
        <w:t>19A</w:t>
      </w:r>
      <w:r>
        <w:rPr>
          <w:snapToGrid w:val="0"/>
        </w:rPr>
        <w:t>.</w:t>
      </w:r>
      <w:r>
        <w:rPr>
          <w:snapToGrid w:val="0"/>
        </w:rPr>
        <w:tab/>
        <w:t>Maximum rate of interest on money owing — s. 6.13(3)</w:t>
      </w:r>
      <w:bookmarkEnd w:id="81"/>
      <w:bookmarkEnd w:id="82"/>
      <w:bookmarkEnd w:id="83"/>
    </w:p>
    <w:p>
      <w:pPr>
        <w:pStyle w:val="Subsection"/>
        <w:rPr>
          <w:snapToGrid w:val="0"/>
        </w:rPr>
      </w:pPr>
      <w:r>
        <w:rPr>
          <w:snapToGrid w:val="0"/>
        </w:rPr>
        <w:tab/>
      </w:r>
      <w:r>
        <w:rPr>
          <w:snapToGrid w:val="0"/>
        </w:rPr>
        <w:tab/>
        <w:t>The maximum rate of interest to be imposed under section 6.13(1) is prescribed as 11%.</w:t>
      </w:r>
    </w:p>
    <w:p>
      <w:pPr>
        <w:pStyle w:val="Footnotesection"/>
      </w:pPr>
      <w:r>
        <w:tab/>
        <w:t>[Regulation 19A inserted in Gazette 28 Jun 1996 p. 3169; amended in Gazette 29 Jun 1999 p. 2854.]</w:t>
      </w:r>
    </w:p>
    <w:p>
      <w:pPr>
        <w:pStyle w:val="Heading5"/>
        <w:rPr>
          <w:snapToGrid w:val="0"/>
        </w:rPr>
      </w:pPr>
      <w:bookmarkStart w:id="84" w:name="_Toc455996740"/>
      <w:bookmarkStart w:id="85" w:name="_Toc92787178"/>
      <w:bookmarkStart w:id="86" w:name="_Toc202521485"/>
      <w:r>
        <w:rPr>
          <w:rStyle w:val="CharSectno"/>
        </w:rPr>
        <w:t>19B</w:t>
      </w:r>
      <w:r>
        <w:rPr>
          <w:snapToGrid w:val="0"/>
        </w:rPr>
        <w:t>.</w:t>
      </w:r>
      <w:r>
        <w:rPr>
          <w:snapToGrid w:val="0"/>
        </w:rPr>
        <w:tab/>
        <w:t>Calculating interest on money owing</w:t>
      </w:r>
      <w:bookmarkEnd w:id="84"/>
      <w:bookmarkEnd w:id="85"/>
      <w:bookmarkEnd w:id="86"/>
    </w:p>
    <w:p>
      <w:pPr>
        <w:pStyle w:val="Subsection"/>
        <w:rPr>
          <w:snapToGrid w:val="0"/>
        </w:rPr>
      </w:pPr>
      <w:r>
        <w:rPr>
          <w:snapToGrid w:val="0"/>
        </w:rPr>
        <w:tab/>
        <w:t>(1)</w:t>
      </w:r>
      <w:r>
        <w:rPr>
          <w:snapToGrid w:val="0"/>
        </w:rPr>
        <w:tab/>
        <w:t>Interest on money that remains owing after the date determined in accordance with section 6.13(6)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rPr>
          <w:snapToGrid w:val="0"/>
        </w:rPr>
      </w:pPr>
      <w:bookmarkStart w:id="87" w:name="_Toc455996741"/>
      <w:bookmarkStart w:id="88" w:name="_Toc92787179"/>
      <w:bookmarkStart w:id="89" w:name="_Toc202521486"/>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87"/>
      <w:bookmarkEnd w:id="88"/>
      <w:bookmarkEnd w:id="89"/>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w:t>
      </w:r>
      <w:r>
        <w:rPr>
          <w:rStyle w:val="CharDefText"/>
        </w:rPr>
        <w:t>the existing loan</w:t>
      </w:r>
      <w:r>
        <w:t>), means to borrow an amount (</w:t>
      </w:r>
      <w:r>
        <w:rPr>
          <w:rStyle w:val="CharDefText"/>
        </w:rPr>
        <w:t>the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90" w:name="_Toc455996742"/>
      <w:bookmarkStart w:id="91" w:name="_Toc92787180"/>
      <w:bookmarkStart w:id="92" w:name="_Toc202521487"/>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90"/>
      <w:bookmarkEnd w:id="91"/>
      <w:bookmarkEnd w:id="92"/>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93" w:name="_Toc92787005"/>
      <w:bookmarkStart w:id="94" w:name="_Toc92787093"/>
      <w:bookmarkStart w:id="95" w:name="_Toc92787181"/>
      <w:bookmarkStart w:id="96" w:name="_Toc92787269"/>
      <w:bookmarkStart w:id="97" w:name="_Toc92964354"/>
      <w:bookmarkStart w:id="98" w:name="_Toc93220354"/>
      <w:bookmarkStart w:id="99" w:name="_Toc107800327"/>
      <w:bookmarkStart w:id="100" w:name="_Toc125779441"/>
      <w:bookmarkStart w:id="101" w:name="_Toc127076098"/>
      <w:bookmarkStart w:id="102" w:name="_Toc127246617"/>
      <w:bookmarkStart w:id="103" w:name="_Toc128203504"/>
      <w:bookmarkStart w:id="104" w:name="_Toc128280075"/>
      <w:bookmarkStart w:id="105" w:name="_Toc202521488"/>
      <w:r>
        <w:rPr>
          <w:rStyle w:val="CharPartNo"/>
        </w:rPr>
        <w:t>Part 3</w:t>
      </w:r>
      <w:r>
        <w:rPr>
          <w:rStyle w:val="CharDivNo"/>
        </w:rPr>
        <w:t> </w:t>
      </w:r>
      <w:r>
        <w:t>—</w:t>
      </w:r>
      <w:r>
        <w:rPr>
          <w:rStyle w:val="CharDivText"/>
        </w:rPr>
        <w:t> </w:t>
      </w:r>
      <w:r>
        <w:rPr>
          <w:rStyle w:val="CharPartText"/>
        </w:rPr>
        <w:t>Annual budget — s. 6.2</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55996743"/>
      <w:bookmarkStart w:id="107" w:name="_Toc92787182"/>
      <w:bookmarkStart w:id="108" w:name="_Toc202521489"/>
      <w:r>
        <w:rPr>
          <w:rStyle w:val="CharSectno"/>
        </w:rPr>
        <w:t>22</w:t>
      </w:r>
      <w:r>
        <w:rPr>
          <w:snapToGrid w:val="0"/>
        </w:rPr>
        <w:t>.</w:t>
      </w:r>
      <w:r>
        <w:rPr>
          <w:snapToGrid w:val="0"/>
        </w:rPr>
        <w:tab/>
        <w:t>Form of annual budget — s. 6.2(1)</w:t>
      </w:r>
      <w:bookmarkEnd w:id="106"/>
      <w:bookmarkEnd w:id="107"/>
      <w:bookmarkEnd w:id="108"/>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109" w:name="_Toc455996744"/>
      <w:bookmarkStart w:id="110" w:name="_Toc92787183"/>
      <w:bookmarkStart w:id="111" w:name="_Toc202521490"/>
      <w:r>
        <w:rPr>
          <w:rStyle w:val="CharSectno"/>
        </w:rPr>
        <w:t>23</w:t>
      </w:r>
      <w:r>
        <w:rPr>
          <w:snapToGrid w:val="0"/>
        </w:rPr>
        <w:t>.</w:t>
      </w:r>
      <w:r>
        <w:rPr>
          <w:snapToGrid w:val="0"/>
        </w:rPr>
        <w:tab/>
        <w:t>Rates information</w:t>
      </w:r>
      <w:bookmarkEnd w:id="109"/>
      <w:bookmarkEnd w:id="110"/>
      <w:bookmarkEnd w:id="111"/>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rPr>
          <w:snapToGrid w:val="0"/>
        </w:rPr>
      </w:pPr>
      <w:bookmarkStart w:id="112" w:name="_Toc455996745"/>
      <w:bookmarkStart w:id="113" w:name="_Toc92787184"/>
      <w:bookmarkStart w:id="114" w:name="_Toc202521491"/>
      <w:r>
        <w:rPr>
          <w:rStyle w:val="CharSectno"/>
        </w:rPr>
        <w:t>24</w:t>
      </w:r>
      <w:r>
        <w:rPr>
          <w:snapToGrid w:val="0"/>
        </w:rPr>
        <w:t>.</w:t>
      </w:r>
      <w:r>
        <w:rPr>
          <w:snapToGrid w:val="0"/>
        </w:rPr>
        <w:tab/>
        <w:t>Service charges information</w:t>
      </w:r>
      <w:bookmarkEnd w:id="112"/>
      <w:bookmarkEnd w:id="113"/>
      <w:bookmarkEnd w:id="114"/>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15" w:name="_Toc455996746"/>
      <w:bookmarkStart w:id="116" w:name="_Toc92787185"/>
      <w:bookmarkStart w:id="117" w:name="_Toc202521492"/>
      <w:r>
        <w:rPr>
          <w:rStyle w:val="CharSectno"/>
        </w:rPr>
        <w:t>25</w:t>
      </w:r>
      <w:r>
        <w:rPr>
          <w:snapToGrid w:val="0"/>
        </w:rPr>
        <w:t>.</w:t>
      </w:r>
      <w:r>
        <w:rPr>
          <w:snapToGrid w:val="0"/>
        </w:rPr>
        <w:tab/>
        <w:t>Fees and charges information</w:t>
      </w:r>
      <w:bookmarkEnd w:id="115"/>
      <w:bookmarkEnd w:id="116"/>
      <w:bookmarkEnd w:id="117"/>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18" w:name="_Toc455996747"/>
      <w:bookmarkStart w:id="119" w:name="_Toc92787186"/>
      <w:bookmarkStart w:id="120" w:name="_Toc202521493"/>
      <w:r>
        <w:rPr>
          <w:rStyle w:val="CharSectno"/>
        </w:rPr>
        <w:t>26</w:t>
      </w:r>
      <w:r>
        <w:rPr>
          <w:snapToGrid w:val="0"/>
        </w:rPr>
        <w:t>.</w:t>
      </w:r>
      <w:r>
        <w:rPr>
          <w:snapToGrid w:val="0"/>
        </w:rPr>
        <w:tab/>
        <w:t>Discount, incentive, concession, waiver and write</w:t>
      </w:r>
      <w:r>
        <w:rPr>
          <w:snapToGrid w:val="0"/>
        </w:rPr>
        <w:noBreakHyphen/>
        <w:t>off information</w:t>
      </w:r>
      <w:bookmarkEnd w:id="118"/>
      <w:bookmarkEnd w:id="119"/>
      <w:bookmarkEnd w:id="120"/>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21" w:name="_Toc455996748"/>
      <w:bookmarkStart w:id="122" w:name="_Toc92787187"/>
      <w:bookmarkStart w:id="123" w:name="_Toc202521494"/>
      <w:r>
        <w:rPr>
          <w:rStyle w:val="CharSectno"/>
        </w:rPr>
        <w:t>27</w:t>
      </w:r>
      <w:r>
        <w:rPr>
          <w:snapToGrid w:val="0"/>
        </w:rPr>
        <w:t>.</w:t>
      </w:r>
      <w:r>
        <w:rPr>
          <w:snapToGrid w:val="0"/>
        </w:rPr>
        <w:tab/>
        <w:t>Budget notes</w:t>
      </w:r>
      <w:bookmarkEnd w:id="121"/>
      <w:bookmarkEnd w:id="122"/>
      <w:bookmarkEnd w:id="123"/>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124" w:name="_Toc455996749"/>
      <w:bookmarkStart w:id="125" w:name="_Toc92787188"/>
      <w:bookmarkStart w:id="126" w:name="_Toc202521495"/>
      <w:r>
        <w:rPr>
          <w:rStyle w:val="CharSectno"/>
        </w:rPr>
        <w:t>28</w:t>
      </w:r>
      <w:r>
        <w:rPr>
          <w:snapToGrid w:val="0"/>
        </w:rPr>
        <w:t>.</w:t>
      </w:r>
      <w:r>
        <w:rPr>
          <w:snapToGrid w:val="0"/>
        </w:rPr>
        <w:tab/>
        <w:t>Investment information</w:t>
      </w:r>
      <w:bookmarkEnd w:id="124"/>
      <w:bookmarkEnd w:id="125"/>
      <w:bookmarkEnd w:id="126"/>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27" w:name="_Toc455996750"/>
      <w:bookmarkStart w:id="128" w:name="_Toc92787189"/>
      <w:bookmarkStart w:id="129" w:name="_Toc202521496"/>
      <w:r>
        <w:rPr>
          <w:rStyle w:val="CharSectno"/>
        </w:rPr>
        <w:t>29</w:t>
      </w:r>
      <w:r>
        <w:rPr>
          <w:snapToGrid w:val="0"/>
        </w:rPr>
        <w:t>.</w:t>
      </w:r>
      <w:r>
        <w:rPr>
          <w:snapToGrid w:val="0"/>
        </w:rPr>
        <w:tab/>
        <w:t>Borrowings information</w:t>
      </w:r>
      <w:bookmarkEnd w:id="127"/>
      <w:bookmarkEnd w:id="128"/>
      <w:bookmarkEnd w:id="129"/>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130" w:name="_Toc455996751"/>
      <w:bookmarkStart w:id="131" w:name="_Toc92787190"/>
      <w:bookmarkStart w:id="132" w:name="_Toc202521497"/>
      <w:r>
        <w:rPr>
          <w:rStyle w:val="CharSectno"/>
        </w:rPr>
        <w:t>30</w:t>
      </w:r>
      <w:r>
        <w:rPr>
          <w:snapToGrid w:val="0"/>
        </w:rPr>
        <w:t>.</w:t>
      </w:r>
      <w:r>
        <w:rPr>
          <w:snapToGrid w:val="0"/>
        </w:rPr>
        <w:tab/>
      </w:r>
      <w:bookmarkEnd w:id="130"/>
      <w:r>
        <w:rPr>
          <w:snapToGrid w:val="0"/>
        </w:rPr>
        <w:t>Previous financial year figures to be included for comparison</w:t>
      </w:r>
      <w:bookmarkEnd w:id="131"/>
      <w:bookmarkEnd w:id="132"/>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133" w:name="_Toc455996752"/>
      <w:bookmarkStart w:id="134" w:name="_Toc92787191"/>
      <w:bookmarkStart w:id="135" w:name="_Toc202521498"/>
      <w:r>
        <w:rPr>
          <w:rStyle w:val="CharSectno"/>
        </w:rPr>
        <w:t>31</w:t>
      </w:r>
      <w:r>
        <w:rPr>
          <w:snapToGrid w:val="0"/>
        </w:rPr>
        <w:t>.</w:t>
      </w:r>
      <w:r>
        <w:rPr>
          <w:snapToGrid w:val="0"/>
        </w:rPr>
        <w:tab/>
      </w:r>
      <w:bookmarkEnd w:id="133"/>
      <w:r>
        <w:rPr>
          <w:snapToGrid w:val="0"/>
        </w:rPr>
        <w:t>Net current assets at start of financial year to be shown</w:t>
      </w:r>
      <w:bookmarkEnd w:id="134"/>
      <w:bookmarkEnd w:id="135"/>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136" w:name="_Toc455996753"/>
      <w:bookmarkStart w:id="137" w:name="_Toc92787192"/>
      <w:bookmarkStart w:id="138" w:name="_Toc202521499"/>
      <w:r>
        <w:rPr>
          <w:rStyle w:val="CharSectno"/>
        </w:rPr>
        <w:t>32</w:t>
      </w:r>
      <w:r>
        <w:rPr>
          <w:snapToGrid w:val="0"/>
        </w:rPr>
        <w:t>.</w:t>
      </w:r>
      <w:r>
        <w:rPr>
          <w:snapToGrid w:val="0"/>
        </w:rPr>
        <w:tab/>
        <w:t>Amounts which may be excluded in calculation of budget deficiency — s. </w:t>
      </w:r>
      <w:r>
        <w:rPr>
          <w:rStyle w:val="CharSectno"/>
        </w:rPr>
        <w:t>6</w:t>
      </w:r>
      <w:r>
        <w:rPr>
          <w:snapToGrid w:val="0"/>
        </w:rPr>
        <w:t>.2(3)</w:t>
      </w:r>
      <w:bookmarkEnd w:id="136"/>
      <w:bookmarkEnd w:id="137"/>
      <w:bookmarkEnd w:id="138"/>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39" w:name="_Toc455996754"/>
      <w:bookmarkStart w:id="140" w:name="_Toc92787193"/>
      <w:bookmarkStart w:id="141" w:name="_Toc202521500"/>
      <w:r>
        <w:rPr>
          <w:rStyle w:val="CharSectno"/>
        </w:rPr>
        <w:t>33</w:t>
      </w:r>
      <w:r>
        <w:rPr>
          <w:snapToGrid w:val="0"/>
        </w:rPr>
        <w:t>.</w:t>
      </w:r>
      <w:r>
        <w:rPr>
          <w:snapToGrid w:val="0"/>
        </w:rPr>
        <w:tab/>
        <w:t>Completion of annual budget</w:t>
      </w:r>
      <w:bookmarkEnd w:id="139"/>
      <w:bookmarkEnd w:id="140"/>
      <w:bookmarkEnd w:id="141"/>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142" w:name="_Toc202521501"/>
      <w:bookmarkStart w:id="143" w:name="_Toc92787018"/>
      <w:bookmarkStart w:id="144" w:name="_Toc92787106"/>
      <w:bookmarkStart w:id="145" w:name="_Toc92787194"/>
      <w:bookmarkStart w:id="146" w:name="_Toc92787282"/>
      <w:bookmarkStart w:id="147" w:name="_Toc92964367"/>
      <w:bookmarkStart w:id="148" w:name="_Toc93220367"/>
      <w:r>
        <w:rPr>
          <w:rStyle w:val="CharSectno"/>
        </w:rPr>
        <w:t>33A</w:t>
      </w:r>
      <w:r>
        <w:t>.</w:t>
      </w:r>
      <w:r>
        <w:tab/>
        <w:t>Review of budget</w:t>
      </w:r>
      <w:bookmarkEnd w:id="142"/>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149" w:name="_Toc107800341"/>
      <w:bookmarkStart w:id="150" w:name="_Toc125779455"/>
      <w:bookmarkStart w:id="151" w:name="_Toc127076112"/>
      <w:bookmarkStart w:id="152" w:name="_Toc127246631"/>
      <w:bookmarkStart w:id="153" w:name="_Toc128203518"/>
      <w:bookmarkStart w:id="154" w:name="_Toc128280089"/>
      <w:bookmarkStart w:id="155" w:name="_Toc202521502"/>
      <w:r>
        <w:rPr>
          <w:rStyle w:val="CharPartNo"/>
        </w:rPr>
        <w:t>Part 4</w:t>
      </w:r>
      <w:r>
        <w:rPr>
          <w:rStyle w:val="CharDivNo"/>
        </w:rPr>
        <w:t> </w:t>
      </w:r>
      <w:r>
        <w:t>—</w:t>
      </w:r>
      <w:r>
        <w:rPr>
          <w:rStyle w:val="CharDivText"/>
        </w:rPr>
        <w:t> </w:t>
      </w:r>
      <w:r>
        <w:rPr>
          <w:rStyle w:val="CharPartText"/>
        </w:rPr>
        <w:t>Financial reports — s. 6.4</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202521503"/>
      <w:bookmarkStart w:id="157" w:name="_Toc455996756"/>
      <w:bookmarkStart w:id="158" w:name="_Toc92787196"/>
      <w:r>
        <w:rPr>
          <w:rStyle w:val="CharSectno"/>
        </w:rPr>
        <w:t>34</w:t>
      </w:r>
      <w:r>
        <w:t>.</w:t>
      </w:r>
      <w:r>
        <w:tab/>
        <w:t>Financial activity statement report — s. 6.4</w:t>
      </w:r>
      <w:bookmarkEnd w:id="156"/>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t>[(6)</w:t>
      </w:r>
      <w:r>
        <w:tab/>
        <w:t>deleted]</w:t>
      </w:r>
    </w:p>
    <w:p>
      <w:pPr>
        <w:pStyle w:val="Footnotesection"/>
      </w:pPr>
      <w:r>
        <w:tab/>
        <w:t>[Regulation 34 inserted in Gazette 31 Mar 2005 p. 1049</w:t>
      </w:r>
      <w:r>
        <w:noBreakHyphen/>
        <w:t>50; amended in Gazette 20 Jun 2008 p. 2724.]</w:t>
      </w:r>
    </w:p>
    <w:p>
      <w:pPr>
        <w:pStyle w:val="Ednotesection"/>
      </w:pPr>
      <w:bookmarkStart w:id="159" w:name="_Toc455996757"/>
      <w:bookmarkStart w:id="160" w:name="_Toc92787197"/>
      <w:bookmarkEnd w:id="157"/>
      <w:bookmarkEnd w:id="158"/>
      <w:r>
        <w:t>[</w:t>
      </w:r>
      <w:r>
        <w:rPr>
          <w:b/>
          <w:bCs/>
        </w:rPr>
        <w:t>35.</w:t>
      </w:r>
      <w:r>
        <w:tab/>
        <w:t>Deleted in Gazette 31 Mar 2005 p. 1050.]</w:t>
      </w:r>
    </w:p>
    <w:p>
      <w:pPr>
        <w:pStyle w:val="Heading5"/>
        <w:rPr>
          <w:snapToGrid w:val="0"/>
        </w:rPr>
      </w:pPr>
      <w:bookmarkStart w:id="161" w:name="_Toc202521504"/>
      <w:r>
        <w:rPr>
          <w:rStyle w:val="CharSectno"/>
        </w:rPr>
        <w:t>36</w:t>
      </w:r>
      <w:r>
        <w:rPr>
          <w:snapToGrid w:val="0"/>
        </w:rPr>
        <w:t>.</w:t>
      </w:r>
      <w:r>
        <w:rPr>
          <w:snapToGrid w:val="0"/>
        </w:rPr>
        <w:tab/>
        <w:t>Form of annual financial report — s. 6.4(2)</w:t>
      </w:r>
      <w:bookmarkEnd w:id="159"/>
      <w:bookmarkEnd w:id="160"/>
      <w:bookmarkEnd w:id="161"/>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pPr>
            <w:r>
              <w:rPr>
                <w:b/>
              </w:rPr>
              <w:t xml:space="preserve">Provision </w:t>
            </w:r>
          </w:p>
        </w:tc>
        <w:tc>
          <w:tcPr>
            <w:tcW w:w="1748" w:type="dxa"/>
            <w:tcBorders>
              <w:top w:val="single" w:sz="4" w:space="0" w:color="auto"/>
              <w:bottom w:val="single" w:sz="4" w:space="0" w:color="auto"/>
            </w:tcBorders>
          </w:tcPr>
          <w:p>
            <w:pPr>
              <w:pStyle w:val="Table"/>
            </w:pPr>
            <w:r>
              <w:rPr>
                <w:b/>
              </w:rPr>
              <w:t>Provision</w:t>
            </w:r>
          </w:p>
        </w:tc>
        <w:tc>
          <w:tcPr>
            <w:tcW w:w="1749" w:type="dxa"/>
            <w:tcBorders>
              <w:top w:val="single" w:sz="4" w:space="0" w:color="auto"/>
              <w:bottom w:val="single" w:sz="4" w:space="0" w:color="auto"/>
            </w:tcBorders>
          </w:tcPr>
          <w:p>
            <w:pPr>
              <w:pStyle w:val="Table"/>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pPr>
            <w:r>
              <w:t>r. 45(b)</w:t>
            </w:r>
          </w:p>
        </w:tc>
        <w:tc>
          <w:tcPr>
            <w:tcW w:w="1748" w:type="dxa"/>
          </w:tcPr>
          <w:p>
            <w:pPr>
              <w:pStyle w:val="Table"/>
            </w:pPr>
            <w:r>
              <w:t>r. 46(a)</w:t>
            </w:r>
          </w:p>
        </w:tc>
        <w:tc>
          <w:tcPr>
            <w:tcW w:w="1749" w:type="dxa"/>
          </w:tcPr>
          <w:p>
            <w:pPr>
              <w:pStyle w:val="Table"/>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162" w:name="_Toc455996758"/>
      <w:bookmarkStart w:id="163" w:name="_Toc92787198"/>
      <w:bookmarkStart w:id="164" w:name="_Toc202521505"/>
      <w:r>
        <w:rPr>
          <w:rStyle w:val="CharSectno"/>
        </w:rPr>
        <w:t>37</w:t>
      </w:r>
      <w:r>
        <w:rPr>
          <w:snapToGrid w:val="0"/>
        </w:rPr>
        <w:t>.</w:t>
      </w:r>
      <w:r>
        <w:rPr>
          <w:snapToGrid w:val="0"/>
        </w:rPr>
        <w:tab/>
        <w:t>Trust fund information</w:t>
      </w:r>
      <w:bookmarkEnd w:id="162"/>
      <w:bookmarkEnd w:id="163"/>
      <w:bookmarkEnd w:id="164"/>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65" w:name="_Toc455996759"/>
      <w:bookmarkStart w:id="166" w:name="_Toc92787199"/>
      <w:bookmarkStart w:id="167" w:name="_Toc202521506"/>
      <w:r>
        <w:rPr>
          <w:rStyle w:val="CharSectno"/>
        </w:rPr>
        <w:t>38</w:t>
      </w:r>
      <w:r>
        <w:rPr>
          <w:snapToGrid w:val="0"/>
        </w:rPr>
        <w:t>.</w:t>
      </w:r>
      <w:r>
        <w:rPr>
          <w:snapToGrid w:val="0"/>
        </w:rPr>
        <w:tab/>
        <w:t>Reserve account information</w:t>
      </w:r>
      <w:bookmarkEnd w:id="165"/>
      <w:bookmarkEnd w:id="166"/>
      <w:bookmarkEnd w:id="167"/>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168" w:name="_Toc455996760"/>
      <w:bookmarkStart w:id="169" w:name="_Toc92787200"/>
      <w:bookmarkStart w:id="170" w:name="_Toc202521507"/>
      <w:r>
        <w:rPr>
          <w:rStyle w:val="CharSectno"/>
        </w:rPr>
        <w:t>39</w:t>
      </w:r>
      <w:r>
        <w:rPr>
          <w:snapToGrid w:val="0"/>
        </w:rPr>
        <w:t>.</w:t>
      </w:r>
      <w:r>
        <w:rPr>
          <w:snapToGrid w:val="0"/>
        </w:rPr>
        <w:tab/>
        <w:t>Rating information</w:t>
      </w:r>
      <w:bookmarkEnd w:id="168"/>
      <w:bookmarkEnd w:id="169"/>
      <w:bookmarkEnd w:id="170"/>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171" w:name="_Toc455996761"/>
      <w:bookmarkStart w:id="172" w:name="_Toc92787201"/>
      <w:bookmarkStart w:id="173" w:name="_Toc202521508"/>
      <w:r>
        <w:rPr>
          <w:rStyle w:val="CharSectno"/>
        </w:rPr>
        <w:t>40</w:t>
      </w:r>
      <w:r>
        <w:rPr>
          <w:snapToGrid w:val="0"/>
        </w:rPr>
        <w:t>.</w:t>
      </w:r>
      <w:r>
        <w:rPr>
          <w:snapToGrid w:val="0"/>
        </w:rPr>
        <w:tab/>
        <w:t>Information about service charges</w:t>
      </w:r>
      <w:bookmarkEnd w:id="171"/>
      <w:bookmarkEnd w:id="172"/>
      <w:bookmarkEnd w:id="173"/>
    </w:p>
    <w:p>
      <w:pPr>
        <w:pStyle w:val="Subsection"/>
        <w:rPr>
          <w:snapToGrid w:val="0"/>
        </w:rPr>
      </w:pPr>
      <w:r>
        <w:rPr>
          <w:snapToGrid w:val="0"/>
        </w:rPr>
        <w:tab/>
      </w:r>
      <w:r>
        <w:rPr>
          <w:snapToGrid w:val="0"/>
        </w:rPr>
        <w:tab/>
        <w:t>In relation to each service charge, the annual financial report is to include details of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174" w:name="_Toc455996762"/>
      <w:bookmarkStart w:id="175" w:name="_Toc92787202"/>
      <w:bookmarkStart w:id="176" w:name="_Toc202521509"/>
      <w:r>
        <w:rPr>
          <w:rStyle w:val="CharSectno"/>
        </w:rPr>
        <w:t>41</w:t>
      </w:r>
      <w:r>
        <w:rPr>
          <w:snapToGrid w:val="0"/>
        </w:rPr>
        <w:t>.</w:t>
      </w:r>
      <w:r>
        <w:rPr>
          <w:snapToGrid w:val="0"/>
        </w:rPr>
        <w:tab/>
        <w:t>Information about fees and charges</w:t>
      </w:r>
      <w:bookmarkEnd w:id="174"/>
      <w:bookmarkEnd w:id="175"/>
      <w:bookmarkEnd w:id="176"/>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177" w:name="_Toc455996763"/>
      <w:bookmarkStart w:id="178" w:name="_Toc92787203"/>
      <w:bookmarkStart w:id="179" w:name="_Toc202521510"/>
      <w:r>
        <w:rPr>
          <w:rStyle w:val="CharSectno"/>
        </w:rPr>
        <w:t>42</w:t>
      </w:r>
      <w:r>
        <w:rPr>
          <w:snapToGrid w:val="0"/>
        </w:rPr>
        <w:t>.</w:t>
      </w:r>
      <w:r>
        <w:rPr>
          <w:snapToGrid w:val="0"/>
        </w:rPr>
        <w:tab/>
        <w:t>Information about discounts, incentives, concessions and write</w:t>
      </w:r>
      <w:r>
        <w:rPr>
          <w:snapToGrid w:val="0"/>
        </w:rPr>
        <w:noBreakHyphen/>
        <w:t>offs</w:t>
      </w:r>
      <w:bookmarkEnd w:id="177"/>
      <w:bookmarkEnd w:id="178"/>
      <w:bookmarkEnd w:id="179"/>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80" w:name="_Toc455996764"/>
      <w:bookmarkStart w:id="181" w:name="_Toc92787204"/>
      <w:bookmarkStart w:id="182" w:name="_Toc202521511"/>
      <w:r>
        <w:rPr>
          <w:rStyle w:val="CharSectno"/>
        </w:rPr>
        <w:t>43</w:t>
      </w:r>
      <w:r>
        <w:rPr>
          <w:snapToGrid w:val="0"/>
        </w:rPr>
        <w:t>.</w:t>
      </w:r>
      <w:r>
        <w:rPr>
          <w:snapToGrid w:val="0"/>
        </w:rPr>
        <w:tab/>
        <w:t>Information about interest payments and additional charges</w:t>
      </w:r>
      <w:bookmarkEnd w:id="180"/>
      <w:bookmarkEnd w:id="181"/>
      <w:bookmarkEnd w:id="182"/>
    </w:p>
    <w:p>
      <w:pPr>
        <w:pStyle w:val="Subsection"/>
        <w:spacing w:before="120"/>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83" w:name="_Toc455996765"/>
      <w:bookmarkStart w:id="184" w:name="_Toc92787205"/>
      <w:bookmarkStart w:id="185" w:name="_Toc202521512"/>
      <w:r>
        <w:rPr>
          <w:rStyle w:val="CharSectno"/>
        </w:rPr>
        <w:t>44</w:t>
      </w:r>
      <w:r>
        <w:rPr>
          <w:snapToGrid w:val="0"/>
        </w:rPr>
        <w:t>.</w:t>
      </w:r>
      <w:r>
        <w:rPr>
          <w:snapToGrid w:val="0"/>
        </w:rPr>
        <w:tab/>
        <w:t>Information about fees etc. to council members</w:t>
      </w:r>
      <w:bookmarkEnd w:id="183"/>
      <w:bookmarkEnd w:id="184"/>
      <w:bookmarkEnd w:id="185"/>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186" w:name="_Toc455996766"/>
      <w:bookmarkStart w:id="187" w:name="_Toc92787206"/>
      <w:bookmarkStart w:id="188" w:name="_Toc202521513"/>
      <w:r>
        <w:rPr>
          <w:rStyle w:val="CharSectno"/>
        </w:rPr>
        <w:t>45</w:t>
      </w:r>
      <w:r>
        <w:rPr>
          <w:snapToGrid w:val="0"/>
        </w:rPr>
        <w:t>.</w:t>
      </w:r>
      <w:r>
        <w:rPr>
          <w:snapToGrid w:val="0"/>
        </w:rPr>
        <w:tab/>
        <w:t>Trading undertakings information</w:t>
      </w:r>
      <w:bookmarkEnd w:id="186"/>
      <w:bookmarkEnd w:id="187"/>
      <w:bookmarkEnd w:id="188"/>
    </w:p>
    <w:p>
      <w:pPr>
        <w:pStyle w:val="Subsection"/>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189" w:name="_Toc455996767"/>
      <w:bookmarkStart w:id="190" w:name="_Toc92787207"/>
      <w:bookmarkStart w:id="191" w:name="_Toc202521514"/>
      <w:r>
        <w:rPr>
          <w:rStyle w:val="CharSectno"/>
        </w:rPr>
        <w:t>46</w:t>
      </w:r>
      <w:r>
        <w:rPr>
          <w:snapToGrid w:val="0"/>
        </w:rPr>
        <w:t>.</w:t>
      </w:r>
      <w:r>
        <w:rPr>
          <w:snapToGrid w:val="0"/>
        </w:rPr>
        <w:tab/>
        <w:t>Major land transactions information</w:t>
      </w:r>
      <w:bookmarkEnd w:id="189"/>
      <w:bookmarkEnd w:id="190"/>
      <w:bookmarkEnd w:id="191"/>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192" w:name="_Toc455996768"/>
      <w:bookmarkStart w:id="193" w:name="_Toc92787208"/>
      <w:r>
        <w:tab/>
        <w:t>[Regulation 46 amended in Gazette 20 Jun 2008 p. 2726.]</w:t>
      </w:r>
    </w:p>
    <w:p>
      <w:pPr>
        <w:pStyle w:val="Heading5"/>
        <w:spacing w:before="180"/>
        <w:rPr>
          <w:snapToGrid w:val="0"/>
        </w:rPr>
      </w:pPr>
      <w:bookmarkStart w:id="194" w:name="_Toc202521515"/>
      <w:r>
        <w:rPr>
          <w:rStyle w:val="CharSectno"/>
        </w:rPr>
        <w:t>47</w:t>
      </w:r>
      <w:r>
        <w:rPr>
          <w:snapToGrid w:val="0"/>
        </w:rPr>
        <w:t>.</w:t>
      </w:r>
      <w:r>
        <w:rPr>
          <w:snapToGrid w:val="0"/>
        </w:rPr>
        <w:tab/>
        <w:t>Information on completion of major land transactions</w:t>
      </w:r>
      <w:bookmarkEnd w:id="192"/>
      <w:bookmarkEnd w:id="193"/>
      <w:bookmarkEnd w:id="194"/>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195" w:name="_Toc455996769"/>
      <w:bookmarkStart w:id="196" w:name="_Toc92787209"/>
      <w:bookmarkStart w:id="197" w:name="_Toc202521516"/>
      <w:r>
        <w:rPr>
          <w:rStyle w:val="CharSectno"/>
        </w:rPr>
        <w:t>48</w:t>
      </w:r>
      <w:r>
        <w:rPr>
          <w:snapToGrid w:val="0"/>
        </w:rPr>
        <w:t>.</w:t>
      </w:r>
      <w:r>
        <w:rPr>
          <w:snapToGrid w:val="0"/>
        </w:rPr>
        <w:tab/>
        <w:t>Information about borrowings</w:t>
      </w:r>
      <w:bookmarkEnd w:id="195"/>
      <w:bookmarkEnd w:id="196"/>
      <w:bookmarkEnd w:id="197"/>
    </w:p>
    <w:p>
      <w:pPr>
        <w:pStyle w:val="Subsection"/>
        <w:spacing w:before="120"/>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198" w:name="_Toc455996770"/>
      <w:bookmarkStart w:id="199" w:name="_Toc92787210"/>
      <w:bookmarkStart w:id="200" w:name="_Toc202521517"/>
      <w:r>
        <w:rPr>
          <w:rStyle w:val="CharSectno"/>
        </w:rPr>
        <w:t>49</w:t>
      </w:r>
      <w:r>
        <w:rPr>
          <w:snapToGrid w:val="0"/>
        </w:rPr>
        <w:t>.</w:t>
      </w:r>
      <w:r>
        <w:rPr>
          <w:snapToGrid w:val="0"/>
        </w:rPr>
        <w:tab/>
        <w:t>Investment information</w:t>
      </w:r>
      <w:bookmarkEnd w:id="198"/>
      <w:bookmarkEnd w:id="199"/>
      <w:bookmarkEnd w:id="200"/>
    </w:p>
    <w:p>
      <w:pPr>
        <w:pStyle w:val="Subsection"/>
        <w:rPr>
          <w:snapToGrid w:val="0"/>
        </w:rPr>
      </w:pPr>
      <w:r>
        <w:rPr>
          <w:snapToGrid w:val="0"/>
        </w:rPr>
        <w:tab/>
      </w:r>
      <w:r>
        <w:rPr>
          <w:snapToGrid w:val="0"/>
        </w:rPr>
        <w:tab/>
        <w:t>The annual financial report is to include, in relation to money invested, details of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01" w:name="_Toc455996771"/>
      <w:bookmarkStart w:id="202" w:name="_Toc92787211"/>
      <w:bookmarkStart w:id="203" w:name="_Toc202521518"/>
      <w:r>
        <w:rPr>
          <w:rStyle w:val="CharSectno"/>
        </w:rPr>
        <w:t>50</w:t>
      </w:r>
      <w:r>
        <w:rPr>
          <w:snapToGrid w:val="0"/>
        </w:rPr>
        <w:t>.</w:t>
      </w:r>
      <w:r>
        <w:rPr>
          <w:snapToGrid w:val="0"/>
        </w:rPr>
        <w:tab/>
        <w:t>Financial information by ratio</w:t>
      </w:r>
      <w:bookmarkEnd w:id="201"/>
      <w:bookmarkEnd w:id="202"/>
      <w:bookmarkEnd w:id="203"/>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rPr>
          <w:snapToGrid w:val="0"/>
        </w:rPr>
      </w:pPr>
      <w:r>
        <w:rPr>
          <w:snapToGrid w:val="0"/>
        </w:rPr>
        <w:tab/>
        <w:t>(a)</w:t>
      </w:r>
      <w:r>
        <w:rPr>
          <w:snapToGrid w:val="0"/>
        </w:rPr>
        <w:tab/>
        <w:t>the current ratio;</w:t>
      </w:r>
    </w:p>
    <w:p>
      <w:pPr>
        <w:pStyle w:val="Indenta"/>
        <w:rPr>
          <w:snapToGrid w:val="0"/>
        </w:rPr>
      </w:pPr>
      <w:r>
        <w:rPr>
          <w:snapToGrid w:val="0"/>
        </w:rPr>
        <w:tab/>
        <w:t>(b)</w:t>
      </w:r>
      <w:r>
        <w:rPr>
          <w:snapToGrid w:val="0"/>
        </w:rPr>
        <w:tab/>
        <w:t>the debt ratio;</w:t>
      </w:r>
    </w:p>
    <w:p>
      <w:pPr>
        <w:pStyle w:val="Indenta"/>
        <w:rPr>
          <w:snapToGrid w:val="0"/>
        </w:rPr>
      </w:pPr>
      <w:r>
        <w:rPr>
          <w:snapToGrid w:val="0"/>
        </w:rPr>
        <w:tab/>
        <w:t>(c)</w:t>
      </w:r>
      <w:r>
        <w:rPr>
          <w:snapToGrid w:val="0"/>
        </w:rPr>
        <w:tab/>
        <w:t>the debt service ratio;</w:t>
      </w:r>
    </w:p>
    <w:p>
      <w:pPr>
        <w:pStyle w:val="Indenta"/>
        <w:rPr>
          <w:snapToGrid w:val="0"/>
        </w:rPr>
      </w:pPr>
      <w:r>
        <w:rPr>
          <w:snapToGrid w:val="0"/>
        </w:rPr>
        <w:tab/>
        <w:t>(d)</w:t>
      </w:r>
      <w:r>
        <w:rPr>
          <w:snapToGrid w:val="0"/>
        </w:rPr>
        <w:tab/>
        <w:t>the rate coverage ratio;</w:t>
      </w:r>
    </w:p>
    <w:p>
      <w:pPr>
        <w:pStyle w:val="Indenta"/>
        <w:rPr>
          <w:snapToGrid w:val="0"/>
        </w:rPr>
      </w:pPr>
      <w:r>
        <w:rPr>
          <w:snapToGrid w:val="0"/>
        </w:rPr>
        <w:tab/>
        <w:t>(e)</w:t>
      </w:r>
      <w:r>
        <w:rPr>
          <w:snapToGrid w:val="0"/>
        </w:rPr>
        <w:tab/>
        <w:t>the outstanding rates ratio;</w:t>
      </w:r>
    </w:p>
    <w:p>
      <w:pPr>
        <w:pStyle w:val="Indenta"/>
      </w:pPr>
      <w:r>
        <w:tab/>
        <w:t>(f)</w:t>
      </w:r>
      <w:r>
        <w:tab/>
        <w:t>the gross debt to revenue ratio;</w:t>
      </w:r>
    </w:p>
    <w:p>
      <w:pPr>
        <w:pStyle w:val="Indenta"/>
      </w:pPr>
      <w:r>
        <w:tab/>
        <w:t>(g)</w:t>
      </w:r>
      <w:r>
        <w:tab/>
        <w:t>the untied cash to trade creditors ratio; and</w:t>
      </w:r>
    </w:p>
    <w:p>
      <w:pPr>
        <w:pStyle w:val="Indenta"/>
      </w:pPr>
      <w:r>
        <w:tab/>
        <w:t>(h)</w:t>
      </w:r>
      <w:r>
        <w:tab/>
        <w:t>the gross debt to economically realisable assets ratio.</w:t>
      </w:r>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p>
    <w:p>
      <w:pPr>
        <w:pStyle w:val="Defstart"/>
      </w:pPr>
      <w:r>
        <w:rPr>
          <w:b/>
        </w:rPr>
        <w:tab/>
      </w:r>
      <w:r>
        <w:rPr>
          <w:rStyle w:val="CharDefText"/>
        </w:rPr>
        <w:t>available operating revenue</w:t>
      </w:r>
      <w:r>
        <w:t xml:space="preserve"> means the operating revenue —</w:t>
      </w:r>
    </w:p>
    <w:p>
      <w:pPr>
        <w:pStyle w:val="Defpara"/>
        <w:spacing w:before="60"/>
      </w:pPr>
      <w:r>
        <w:tab/>
        <w:t>(a)</w:t>
      </w:r>
      <w:r>
        <w:tab/>
        <w:t>plus any contributions towards the repayment of money borrowed which have not been included in the operating revenue; and</w:t>
      </w:r>
    </w:p>
    <w:p>
      <w:pPr>
        <w:pStyle w:val="Defpara"/>
        <w:spacing w:before="60"/>
      </w:pPr>
      <w:r>
        <w:tab/>
        <w:t>(b)</w:t>
      </w:r>
      <w:r>
        <w:tab/>
        <w:t>minus specific purpose grants, contributions and donations of a capital nature;</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spacing w:before="60"/>
      </w:pPr>
      <w:r>
        <w:rPr>
          <w:b/>
        </w:rPr>
        <w:tab/>
      </w:r>
      <w:r>
        <w:rPr>
          <w:rStyle w:val="CharDefText"/>
        </w:rPr>
        <w:t>debt ratio</w:t>
      </w:r>
      <w:r>
        <w:t xml:space="preserve"> means the ratio determined as follows —</w:t>
      </w:r>
    </w:p>
    <w:p>
      <w:pPr>
        <w:pStyle w:val="Equation"/>
        <w:jc w:val="center"/>
        <w:rPr>
          <w:snapToGrid w:val="0"/>
        </w:rPr>
      </w:pPr>
      <w:r>
        <w:rPr>
          <w:position w:val="-28"/>
          <w:sz w:val="20"/>
        </w:rPr>
        <w:object w:dxaOrig="1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o:ole="" fillcolor="window">
            <v:imagedata r:id="rId20" o:title=""/>
          </v:shape>
          <o:OLEObject Type="Embed" ProgID="Equation.3" ShapeID="_x0000_i1025" DrawAspect="Content" ObjectID="_1644216987" r:id="rId21"/>
        </w:object>
      </w:r>
    </w:p>
    <w:p>
      <w:pPr>
        <w:pStyle w:val="Defstart"/>
        <w:spacing w:before="60"/>
      </w:pPr>
      <w:r>
        <w:rPr>
          <w:b/>
        </w:rPr>
        <w:tab/>
      </w:r>
      <w:r>
        <w:rPr>
          <w:rStyle w:val="CharDefText"/>
        </w:rPr>
        <w:t>debt service cost</w:t>
      </w:r>
      <w:r>
        <w:t xml:space="preserve"> means all principal and interest expenses for borrowings under section 6.20;</w:t>
      </w:r>
    </w:p>
    <w:p>
      <w:pPr>
        <w:pStyle w:val="Defstart"/>
        <w:spacing w:before="60"/>
      </w:pPr>
      <w:r>
        <w:tab/>
      </w:r>
      <w:r>
        <w:rPr>
          <w:rStyle w:val="CharDefText"/>
        </w:rPr>
        <w:t>debt service ratio</w:t>
      </w:r>
      <w:r>
        <w:t xml:space="preserve"> means the ratio determined as follows —</w:t>
      </w:r>
    </w:p>
    <w:p>
      <w:pPr>
        <w:pStyle w:val="Equation"/>
        <w:jc w:val="center"/>
        <w:rPr>
          <w:snapToGrid w:val="0"/>
        </w:rPr>
      </w:pPr>
      <w:r>
        <w:rPr>
          <w:position w:val="-28"/>
          <w:sz w:val="20"/>
        </w:rPr>
        <w:object w:dxaOrig="2780" w:dyaOrig="660">
          <v:shape id="_x0000_i1026" type="#_x0000_t75" style="width:138.75pt;height:33pt" o:ole="" fillcolor="window">
            <v:imagedata r:id="rId22" o:title=""/>
          </v:shape>
          <o:OLEObject Type="Embed" ProgID="Equation.3" ShapeID="_x0000_i1026" DrawAspect="Content" ObjectID="_1644216988" r:id="rId23"/>
        </w:object>
      </w:r>
    </w:p>
    <w:p>
      <w:pPr>
        <w:pStyle w:val="Defstart"/>
        <w:spacing w:before="60"/>
      </w:pPr>
      <w:r>
        <w:rPr>
          <w:b/>
        </w:rPr>
        <w:tab/>
      </w:r>
      <w:r>
        <w:rPr>
          <w:rStyle w:val="CharDefText"/>
        </w:rPr>
        <w:t>economically realisable assets</w:t>
      </w:r>
      <w:r>
        <w:t xml:space="preserve"> means total assets other than infrastructure assets;</w:t>
      </w:r>
    </w:p>
    <w:p>
      <w:pPr>
        <w:pStyle w:val="Defstart"/>
        <w:spacing w:before="60"/>
      </w:pPr>
      <w:r>
        <w:rPr>
          <w:b/>
        </w:rPr>
        <w:tab/>
      </w:r>
      <w:r>
        <w:rPr>
          <w:rStyle w:val="CharDefText"/>
        </w:rPr>
        <w:t>gross debt</w:t>
      </w:r>
      <w:r>
        <w:t xml:space="preserve"> includes all borrowings under section 6.20 and all utilised overdrafts;</w:t>
      </w:r>
    </w:p>
    <w:p>
      <w:pPr>
        <w:pStyle w:val="Defstart"/>
        <w:spacing w:before="60"/>
      </w:pPr>
      <w:r>
        <w:rPr>
          <w:b/>
        </w:rPr>
        <w:tab/>
      </w:r>
      <w:r>
        <w:rPr>
          <w:rStyle w:val="CharDefText"/>
        </w:rPr>
        <w:t>gross debt to economically realisable assets ratio</w:t>
      </w:r>
      <w:r>
        <w:t xml:space="preserve"> means the ratio determined as follows —</w:t>
      </w:r>
    </w:p>
    <w:p>
      <w:pPr>
        <w:pStyle w:val="Equation"/>
        <w:jc w:val="center"/>
      </w:pPr>
      <w:r>
        <w:rPr>
          <w:position w:val="-28"/>
        </w:rPr>
        <w:object w:dxaOrig="3019" w:dyaOrig="660">
          <v:shape id="_x0000_i1027" type="#_x0000_t75" style="width:150.75pt;height:33pt" o:ole="">
            <v:imagedata r:id="rId24" o:title=""/>
          </v:shape>
          <o:OLEObject Type="Embed" ProgID="Equation.3" ShapeID="_x0000_i1027" DrawAspect="Content" ObjectID="_1644216989" r:id="rId25"/>
        </w:object>
      </w:r>
    </w:p>
    <w:p>
      <w:pPr>
        <w:pStyle w:val="Defstart"/>
      </w:pPr>
      <w:r>
        <w:rPr>
          <w:b/>
        </w:rPr>
        <w:tab/>
      </w:r>
      <w:r>
        <w:rPr>
          <w:rStyle w:val="CharDefText"/>
        </w:rPr>
        <w:t>gross debt to revenue ratio</w:t>
      </w:r>
      <w:r>
        <w:t xml:space="preserve"> means the ratio determined as follows —</w:t>
      </w:r>
    </w:p>
    <w:p>
      <w:pPr>
        <w:pStyle w:val="Equation"/>
        <w:jc w:val="center"/>
      </w:pPr>
      <w:r>
        <w:rPr>
          <w:position w:val="-28"/>
        </w:rPr>
        <w:object w:dxaOrig="1400" w:dyaOrig="660">
          <v:shape id="_x0000_i1028" type="#_x0000_t75" style="width:69.75pt;height:33pt" o:ole="">
            <v:imagedata r:id="rId26" o:title=""/>
          </v:shape>
          <o:OLEObject Type="Embed" ProgID="Equation.3" ShapeID="_x0000_i1028" DrawAspect="Content" ObjectID="_1644216990" r:id="rId27"/>
        </w:object>
      </w:r>
    </w:p>
    <w:p>
      <w:pPr>
        <w:pStyle w:val="Defstart"/>
      </w:pPr>
      <w:r>
        <w:rPr>
          <w:b/>
        </w:rPr>
        <w:tab/>
      </w:r>
      <w:r>
        <w:rPr>
          <w:rStyle w:val="CharDefText"/>
        </w:rPr>
        <w:t>infrastructure assets</w:t>
      </w:r>
      <w:r>
        <w:t xml:space="preserve"> means all tangible assets of economic value that are not economically realisable, and includes roads, bridges, drains and recreational facilities;</w:t>
      </w:r>
    </w:p>
    <w:p>
      <w:pPr>
        <w:pStyle w:val="Defstart"/>
      </w:pPr>
      <w:r>
        <w:rPr>
          <w:b/>
        </w:rPr>
        <w:tab/>
      </w:r>
      <w:r>
        <w:rPr>
          <w:rStyle w:val="CharDefText"/>
        </w:rPr>
        <w:t>net rate revenue</w:t>
      </w:r>
      <w:r>
        <w:t xml:space="preserve"> means the revenue from all rates and money paid in lieu of rates on non</w:t>
      </w:r>
      <w:r>
        <w:noBreakHyphen/>
        <w:t>rateable land —</w:t>
      </w:r>
    </w:p>
    <w:p>
      <w:pPr>
        <w:pStyle w:val="Defpara"/>
      </w:pPr>
      <w:r>
        <w:tab/>
        <w:t>(a)</w:t>
      </w:r>
      <w:r>
        <w:tab/>
        <w:t>plus interest for late payment, and interest and additional charges on instalments;</w:t>
      </w:r>
    </w:p>
    <w:p>
      <w:pPr>
        <w:pStyle w:val="Defpara"/>
      </w:pPr>
      <w:r>
        <w:tab/>
        <w:t>(b)</w:t>
      </w:r>
      <w:r>
        <w:tab/>
        <w:t>minus discounts and concessions granted, and money written off;</w:t>
      </w:r>
    </w:p>
    <w:p>
      <w:pPr>
        <w:pStyle w:val="Defstart"/>
      </w:pPr>
      <w:r>
        <w:rPr>
          <w:b/>
        </w:rPr>
        <w:tab/>
      </w:r>
      <w:r>
        <w:rPr>
          <w:rStyle w:val="CharDefText"/>
        </w:rPr>
        <w:t>outstanding rates ratio</w:t>
      </w:r>
      <w:r>
        <w:t xml:space="preserve"> means the ratio determined as follows —</w:t>
      </w:r>
    </w:p>
    <w:p>
      <w:pPr>
        <w:pStyle w:val="Table"/>
        <w:jc w:val="center"/>
        <w:rPr>
          <w:snapToGrid w:val="0"/>
        </w:rPr>
      </w:pPr>
      <w:r>
        <w:rPr>
          <w:position w:val="-28"/>
          <w:sz w:val="20"/>
        </w:rPr>
        <w:object w:dxaOrig="1740" w:dyaOrig="660">
          <v:shape id="_x0000_i1029" type="#_x0000_t75" style="width:87pt;height:33pt" o:ole="" fillcolor="window">
            <v:imagedata r:id="rId28" o:title=""/>
          </v:shape>
          <o:OLEObject Type="Embed" ProgID="Equation.3" ShapeID="_x0000_i1029" DrawAspect="Content" ObjectID="_1644216991" r:id="rId29"/>
        </w:object>
      </w:r>
    </w:p>
    <w:p>
      <w:pPr>
        <w:pStyle w:val="Defstart"/>
      </w:pPr>
      <w:r>
        <w:rPr>
          <w:b/>
        </w:rPr>
        <w:tab/>
      </w:r>
      <w:r>
        <w:rPr>
          <w:rStyle w:val="CharDefText"/>
        </w:rPr>
        <w:t>rate coverage ratio</w:t>
      </w:r>
      <w:r>
        <w:t xml:space="preserve"> means the ratio determined as follows —</w:t>
      </w:r>
    </w:p>
    <w:p>
      <w:pPr>
        <w:pStyle w:val="Table"/>
        <w:jc w:val="center"/>
        <w:rPr>
          <w:snapToGrid w:val="0"/>
        </w:rPr>
      </w:pPr>
      <w:r>
        <w:rPr>
          <w:position w:val="-28"/>
          <w:sz w:val="20"/>
        </w:rPr>
        <w:object w:dxaOrig="1880" w:dyaOrig="660">
          <v:shape id="_x0000_i1030" type="#_x0000_t75" style="width:93.75pt;height:33pt" o:ole="" fillcolor="window">
            <v:imagedata r:id="rId30" o:title=""/>
          </v:shape>
          <o:OLEObject Type="Embed" ProgID="Equation.3" ShapeID="_x0000_i1030" DrawAspect="Content" ObjectID="_1644216992" r:id="rId31"/>
        </w:object>
      </w:r>
    </w:p>
    <w:p>
      <w:pPr>
        <w:pStyle w:val="Defstart"/>
      </w:pPr>
      <w:r>
        <w:rPr>
          <w:b/>
        </w:rPr>
        <w:tab/>
      </w:r>
      <w:r>
        <w:rPr>
          <w:rStyle w:val="CharDefText"/>
        </w:rPr>
        <w:t>rates collectable</w:t>
      </w:r>
      <w:r>
        <w:t xml:space="preserve"> means the amount of —</w:t>
      </w:r>
    </w:p>
    <w:p>
      <w:pPr>
        <w:pStyle w:val="Defpara"/>
      </w:pPr>
      <w:r>
        <w:tab/>
        <w:t>(a)</w:t>
      </w:r>
      <w:r>
        <w:tab/>
        <w:t>all rates, interim rates, back rates, interim minimum payments, back minimum payments;</w:t>
      </w:r>
    </w:p>
    <w:p>
      <w:pPr>
        <w:pStyle w:val="Defpara"/>
      </w:pPr>
      <w:r>
        <w:tab/>
        <w:t>(b)</w:t>
      </w:r>
      <w:r>
        <w:tab/>
        <w:t>interest and additional charges payable on the rates and payments referred to in paragraph (a); and</w:t>
      </w:r>
    </w:p>
    <w:p>
      <w:pPr>
        <w:pStyle w:val="Defpara"/>
      </w:pPr>
      <w:r>
        <w:tab/>
        <w:t>(c)</w:t>
      </w:r>
      <w:r>
        <w:tab/>
        <w:t>arrears brought forward from a previous financial year of the amounts referred to in paragraphs (a) and (b);</w:t>
      </w:r>
    </w:p>
    <w:p>
      <w:pPr>
        <w:pStyle w:val="Defstart"/>
      </w:pPr>
      <w:r>
        <w:rPr>
          <w:b/>
        </w:rPr>
        <w:tab/>
      </w:r>
      <w:r>
        <w:rPr>
          <w:rStyle w:val="CharDefText"/>
        </w:rPr>
        <w:t>rates outstanding</w:t>
      </w:r>
      <w:r>
        <w:t xml:space="preserve"> means unpaid rates collectable;</w:t>
      </w:r>
    </w:p>
    <w:p>
      <w:pPr>
        <w:pStyle w:val="Defstart"/>
      </w:pPr>
      <w:r>
        <w:rPr>
          <w:b/>
        </w:rPr>
        <w:tab/>
      </w:r>
      <w:r>
        <w:rPr>
          <w:rStyle w:val="CharDefText"/>
        </w:rPr>
        <w:t>total assets</w:t>
      </w:r>
      <w:r>
        <w:t xml:space="preserve"> means all current and non-current assets as shown in the balance sheet;</w:t>
      </w:r>
    </w:p>
    <w:p>
      <w:pPr>
        <w:pStyle w:val="Defstart"/>
      </w:pPr>
      <w:r>
        <w:rPr>
          <w:b/>
        </w:rPr>
        <w:tab/>
      </w:r>
      <w:r>
        <w:rPr>
          <w:rStyle w:val="CharDefText"/>
        </w:rPr>
        <w:t>total liabilities</w:t>
      </w:r>
      <w:r>
        <w:t xml:space="preserve"> means all current and non-current liabilities as shown in the balance sheet;</w:t>
      </w:r>
    </w:p>
    <w:p>
      <w:pPr>
        <w:pStyle w:val="Defstart"/>
      </w:pPr>
      <w:r>
        <w:rPr>
          <w:b/>
        </w:rPr>
        <w:tab/>
      </w:r>
      <w:r>
        <w:rPr>
          <w:rStyle w:val="CharDefText"/>
        </w:rPr>
        <w:t>total revenue</w:t>
      </w:r>
      <w:r>
        <w:t xml:space="preserve"> means the total operating revenue excluding all specific purpose grants, contributions and donations that are used for asset development and acquisition;</w:t>
      </w:r>
    </w:p>
    <w:p>
      <w:pPr>
        <w:pStyle w:val="Defstart"/>
      </w:pPr>
      <w:r>
        <w:rPr>
          <w:b/>
        </w:rPr>
        <w:tab/>
      </w:r>
      <w:r>
        <w:rPr>
          <w:rStyle w:val="CharDefText"/>
        </w:rPr>
        <w:t>untied cash to unpaid trade creditors ratio</w:t>
      </w:r>
      <w:r>
        <w:t xml:space="preserve"> means the ratio determined as follows —</w:t>
      </w:r>
    </w:p>
    <w:p>
      <w:pPr>
        <w:pStyle w:val="Equation"/>
        <w:jc w:val="center"/>
      </w:pPr>
      <w:r>
        <w:rPr>
          <w:position w:val="-28"/>
        </w:rPr>
        <w:object w:dxaOrig="2220" w:dyaOrig="660">
          <v:shape id="_x0000_i1031" type="#_x0000_t75" style="width:111pt;height:33pt" o:ole="">
            <v:imagedata r:id="rId32" o:title=""/>
          </v:shape>
          <o:OLEObject Type="Embed" ProgID="Equation.3" ShapeID="_x0000_i1031" DrawAspect="Content" ObjectID="_1644216993" r:id="rId33"/>
        </w:object>
      </w:r>
    </w:p>
    <w:p>
      <w:pPr>
        <w:pStyle w:val="Footnotesection"/>
      </w:pPr>
      <w:r>
        <w:tab/>
        <w:t>[Regulation 50 amended in Gazette 20 Jun 1997 p. 2842; 31 Mar 2005 p. 1051</w:t>
      </w:r>
      <w:r>
        <w:noBreakHyphen/>
        <w:t>2; 20 Jun 2008 p. 2726.]</w:t>
      </w:r>
    </w:p>
    <w:p>
      <w:pPr>
        <w:pStyle w:val="Heading5"/>
        <w:rPr>
          <w:snapToGrid w:val="0"/>
        </w:rPr>
      </w:pPr>
      <w:bookmarkStart w:id="204" w:name="_Toc455996772"/>
      <w:bookmarkStart w:id="205" w:name="_Toc92787212"/>
      <w:bookmarkStart w:id="206" w:name="_Toc202521519"/>
      <w:r>
        <w:rPr>
          <w:rStyle w:val="CharSectno"/>
        </w:rPr>
        <w:t>51</w:t>
      </w:r>
      <w:r>
        <w:rPr>
          <w:snapToGrid w:val="0"/>
        </w:rPr>
        <w:t>.</w:t>
      </w:r>
      <w:r>
        <w:rPr>
          <w:snapToGrid w:val="0"/>
        </w:rPr>
        <w:tab/>
        <w:t>Completion of financial report</w:t>
      </w:r>
      <w:bookmarkEnd w:id="204"/>
      <w:bookmarkEnd w:id="205"/>
      <w:bookmarkEnd w:id="206"/>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207" w:name="_Toc92787037"/>
      <w:bookmarkStart w:id="208" w:name="_Toc92787125"/>
      <w:bookmarkStart w:id="209" w:name="_Toc92787213"/>
      <w:bookmarkStart w:id="210" w:name="_Toc92787301"/>
      <w:bookmarkStart w:id="211" w:name="_Toc92964386"/>
      <w:bookmarkStart w:id="212" w:name="_Toc93220386"/>
      <w:bookmarkStart w:id="213" w:name="_Toc107800359"/>
      <w:bookmarkStart w:id="214" w:name="_Toc125779473"/>
      <w:bookmarkStart w:id="215" w:name="_Toc127076130"/>
      <w:bookmarkStart w:id="216" w:name="_Toc127246649"/>
      <w:bookmarkStart w:id="217" w:name="_Toc128203536"/>
      <w:bookmarkStart w:id="218" w:name="_Toc128280107"/>
      <w:bookmarkStart w:id="219" w:name="_Toc202521520"/>
      <w:r>
        <w:rPr>
          <w:rStyle w:val="CharPartNo"/>
        </w:rPr>
        <w:t>Part 5</w:t>
      </w:r>
      <w:r>
        <w:rPr>
          <w:rStyle w:val="CharDivNo"/>
        </w:rPr>
        <w:t> </w:t>
      </w:r>
      <w:r>
        <w:t>—</w:t>
      </w:r>
      <w:r>
        <w:rPr>
          <w:rStyle w:val="CharDivText"/>
        </w:rPr>
        <w:t> </w:t>
      </w:r>
      <w:r>
        <w:rPr>
          <w:rStyle w:val="CharPartText"/>
        </w:rPr>
        <w:t>Rates and service charges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55996773"/>
      <w:bookmarkStart w:id="221" w:name="_Toc92787214"/>
      <w:bookmarkStart w:id="222" w:name="_Toc202521521"/>
      <w:r>
        <w:rPr>
          <w:rStyle w:val="CharSectno"/>
        </w:rPr>
        <w:t>52</w:t>
      </w:r>
      <w:r>
        <w:rPr>
          <w:snapToGrid w:val="0"/>
        </w:rPr>
        <w:t>.</w:t>
      </w:r>
      <w:r>
        <w:rPr>
          <w:snapToGrid w:val="0"/>
        </w:rPr>
        <w:tab/>
        <w:t>Minimum payment — maximum percentage — s. 6.35(4)</w:t>
      </w:r>
      <w:bookmarkEnd w:id="220"/>
      <w:bookmarkEnd w:id="221"/>
      <w:bookmarkEnd w:id="222"/>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23" w:name="_Toc455996774"/>
      <w:bookmarkStart w:id="224" w:name="_Toc92787215"/>
      <w:bookmarkStart w:id="225" w:name="_Toc202521522"/>
      <w:r>
        <w:rPr>
          <w:rStyle w:val="CharSectno"/>
        </w:rPr>
        <w:t>53</w:t>
      </w:r>
      <w:r>
        <w:rPr>
          <w:snapToGrid w:val="0"/>
        </w:rPr>
        <w:t>.</w:t>
      </w:r>
      <w:r>
        <w:rPr>
          <w:snapToGrid w:val="0"/>
        </w:rPr>
        <w:tab/>
        <w:t>Minimum payment — amount of general minimum —s. </w:t>
      </w:r>
      <w:r>
        <w:rPr>
          <w:rStyle w:val="CharSectno"/>
        </w:rPr>
        <w:t>6</w:t>
      </w:r>
      <w:r>
        <w:rPr>
          <w:snapToGrid w:val="0"/>
        </w:rPr>
        <w:t>.35(4)</w:t>
      </w:r>
      <w:bookmarkEnd w:id="223"/>
      <w:bookmarkEnd w:id="224"/>
      <w:bookmarkEnd w:id="225"/>
    </w:p>
    <w:p>
      <w:pPr>
        <w:pStyle w:val="Subsection"/>
        <w:rPr>
          <w:snapToGrid w:val="0"/>
        </w:rPr>
      </w:pPr>
      <w:r>
        <w:rPr>
          <w:snapToGrid w:val="0"/>
        </w:rPr>
        <w:tab/>
      </w:r>
      <w:r>
        <w:rPr>
          <w:snapToGrid w:val="0"/>
        </w:rPr>
        <w:tab/>
        <w:t>The amount prescribed for the purposes of section 6.35(4) is $200.</w:t>
      </w:r>
    </w:p>
    <w:p>
      <w:pPr>
        <w:pStyle w:val="Heading5"/>
        <w:rPr>
          <w:snapToGrid w:val="0"/>
        </w:rPr>
      </w:pPr>
      <w:bookmarkStart w:id="226" w:name="_Toc455996775"/>
      <w:bookmarkStart w:id="227" w:name="_Toc92787216"/>
      <w:bookmarkStart w:id="228" w:name="_Toc202521523"/>
      <w:r>
        <w:rPr>
          <w:rStyle w:val="CharSectno"/>
        </w:rPr>
        <w:t>54</w:t>
      </w:r>
      <w:r>
        <w:rPr>
          <w:snapToGrid w:val="0"/>
        </w:rPr>
        <w:t>.</w:t>
      </w:r>
      <w:r>
        <w:rPr>
          <w:snapToGrid w:val="0"/>
        </w:rPr>
        <w:tab/>
        <w:t>Service charge — prescribed services — s. 6.38(1)</w:t>
      </w:r>
      <w:bookmarkEnd w:id="226"/>
      <w:bookmarkEnd w:id="227"/>
      <w:bookmarkEnd w:id="228"/>
    </w:p>
    <w:p>
      <w:pPr>
        <w:pStyle w:val="Subsection"/>
        <w:rPr>
          <w:snapToGrid w:val="0"/>
        </w:rPr>
      </w:pPr>
      <w:r>
        <w:rPr>
          <w:snapToGrid w:val="0"/>
        </w:rPr>
        <w:tab/>
      </w:r>
      <w:r>
        <w:rPr>
          <w:snapToGrid w:val="0"/>
        </w:rPr>
        <w:tab/>
        <w:t>For the purposes of section 6.38(1), the services for which a local government may impose a service charge are the provision of —</w:t>
      </w:r>
    </w:p>
    <w:p>
      <w:pPr>
        <w:pStyle w:val="Indenta"/>
        <w:rPr>
          <w:snapToGrid w:val="0"/>
        </w:rPr>
      </w:pPr>
      <w:r>
        <w:rPr>
          <w:snapToGrid w:val="0"/>
        </w:rPr>
        <w:tab/>
        <w:t>(a)</w:t>
      </w:r>
      <w:r>
        <w:rPr>
          <w:snapToGrid w:val="0"/>
        </w:rPr>
        <w:tab/>
        <w:t>television and radio rebroadcasting;</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underground electricity;</w:t>
      </w:r>
    </w:p>
    <w:p>
      <w:pPr>
        <w:pStyle w:val="Indenta"/>
      </w:pPr>
      <w:r>
        <w:rPr>
          <w:snapToGrid w:val="0"/>
        </w:rPr>
        <w:tab/>
        <w:t>(d)</w:t>
      </w:r>
      <w:r>
        <w:rPr>
          <w:snapToGrid w:val="0"/>
        </w:rPr>
        <w:tab/>
        <w:t>property surveillance and security</w:t>
      </w:r>
      <w:r>
        <w:t>; and</w:t>
      </w:r>
    </w:p>
    <w:p>
      <w:pPr>
        <w:pStyle w:val="Indenta"/>
        <w:rPr>
          <w:snapToGrid w:val="0"/>
        </w:rPr>
      </w:pPr>
      <w:r>
        <w:tab/>
        <w:t>(e)</w:t>
      </w:r>
      <w:r>
        <w:tab/>
        <w:t>water.</w:t>
      </w:r>
    </w:p>
    <w:p>
      <w:pPr>
        <w:pStyle w:val="Footnotesection"/>
      </w:pPr>
      <w:r>
        <w:tab/>
        <w:t>[Regulation 54 amended in Gazette 20 Jun 1997 p. 2842</w:t>
      </w:r>
      <w:r>
        <w:noBreakHyphen/>
        <w:t>3; 19 Jun 1998 p. 3282; 18 Jun 1999 p. 2639; 16 Jun 2000 p. 2951; 20 Jun 2008 p. 2726.]</w:t>
      </w:r>
    </w:p>
    <w:p>
      <w:pPr>
        <w:pStyle w:val="Heading5"/>
        <w:rPr>
          <w:snapToGrid w:val="0"/>
        </w:rPr>
      </w:pPr>
      <w:bookmarkStart w:id="229" w:name="_Toc455996776"/>
      <w:bookmarkStart w:id="230" w:name="_Toc92787217"/>
      <w:bookmarkStart w:id="231" w:name="_Toc202521524"/>
      <w:r>
        <w:rPr>
          <w:rStyle w:val="CharSectno"/>
        </w:rPr>
        <w:t>55</w:t>
      </w:r>
      <w:r>
        <w:rPr>
          <w:snapToGrid w:val="0"/>
        </w:rPr>
        <w:t>.</w:t>
      </w:r>
      <w:r>
        <w:rPr>
          <w:snapToGrid w:val="0"/>
        </w:rPr>
        <w:tab/>
        <w:t>Form of rate record — s. 6.39(1)</w:t>
      </w:r>
      <w:bookmarkEnd w:id="229"/>
      <w:bookmarkEnd w:id="230"/>
      <w:bookmarkEnd w:id="231"/>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32" w:name="_Toc455996777"/>
      <w:bookmarkStart w:id="233" w:name="_Toc92787218"/>
      <w:bookmarkStart w:id="234" w:name="_Toc202521525"/>
      <w:r>
        <w:rPr>
          <w:rStyle w:val="CharSectno"/>
        </w:rPr>
        <w:t>56</w:t>
      </w:r>
      <w:r>
        <w:rPr>
          <w:snapToGrid w:val="0"/>
        </w:rPr>
        <w:t>.</w:t>
      </w:r>
      <w:r>
        <w:rPr>
          <w:snapToGrid w:val="0"/>
        </w:rPr>
        <w:tab/>
        <w:t>Contents of rate notice — s. 6.41</w:t>
      </w:r>
      <w:bookmarkEnd w:id="232"/>
      <w:bookmarkEnd w:id="233"/>
      <w:bookmarkEnd w:id="234"/>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w:t>
      </w:r>
    </w:p>
    <w:p>
      <w:pPr>
        <w:pStyle w:val="Heading5"/>
        <w:rPr>
          <w:snapToGrid w:val="0"/>
        </w:rPr>
      </w:pPr>
      <w:bookmarkStart w:id="235" w:name="_Toc455996778"/>
      <w:bookmarkStart w:id="236" w:name="_Toc92787219"/>
      <w:bookmarkStart w:id="237" w:name="_Toc202521526"/>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235"/>
      <w:bookmarkEnd w:id="236"/>
      <w:bookmarkEnd w:id="237"/>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38" w:name="_Toc455996779"/>
      <w:bookmarkStart w:id="239" w:name="_Toc92787220"/>
      <w:bookmarkStart w:id="240" w:name="_Toc202521527"/>
      <w:r>
        <w:rPr>
          <w:rStyle w:val="CharSectno"/>
        </w:rPr>
        <w:t>58</w:t>
      </w:r>
      <w:r>
        <w:rPr>
          <w:snapToGrid w:val="0"/>
        </w:rPr>
        <w:t>.</w:t>
      </w:r>
      <w:r>
        <w:rPr>
          <w:snapToGrid w:val="0"/>
        </w:rPr>
        <w:tab/>
        <w:t>Instalments not available if payment in arrears</w:t>
      </w:r>
      <w:bookmarkEnd w:id="238"/>
      <w:bookmarkEnd w:id="239"/>
      <w:bookmarkEnd w:id="240"/>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41" w:name="_Toc455996780"/>
      <w:bookmarkStart w:id="242" w:name="_Toc92787221"/>
      <w:bookmarkStart w:id="243" w:name="_Toc202521528"/>
      <w:r>
        <w:rPr>
          <w:rStyle w:val="CharSectno"/>
        </w:rPr>
        <w:t>59</w:t>
      </w:r>
      <w:r>
        <w:rPr>
          <w:snapToGrid w:val="0"/>
        </w:rPr>
        <w:t>.</w:t>
      </w:r>
      <w:r>
        <w:rPr>
          <w:snapToGrid w:val="0"/>
        </w:rPr>
        <w:tab/>
        <w:t>Instalments not available for small amounts — s. 6.45(4)(b)</w:t>
      </w:r>
      <w:bookmarkEnd w:id="241"/>
      <w:bookmarkEnd w:id="242"/>
      <w:bookmarkEnd w:id="243"/>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244" w:name="_Toc455996781"/>
      <w:bookmarkStart w:id="245" w:name="_Toc92787222"/>
      <w:bookmarkStart w:id="246" w:name="_Toc202521529"/>
      <w:r>
        <w:rPr>
          <w:rStyle w:val="CharSectno"/>
        </w:rPr>
        <w:t>60</w:t>
      </w:r>
      <w:r>
        <w:rPr>
          <w:snapToGrid w:val="0"/>
        </w:rPr>
        <w:t>.</w:t>
      </w:r>
      <w:r>
        <w:rPr>
          <w:snapToGrid w:val="0"/>
        </w:rPr>
        <w:tab/>
        <w:t>Manner of election to pay by instalments</w:t>
      </w:r>
      <w:bookmarkEnd w:id="244"/>
      <w:bookmarkEnd w:id="245"/>
      <w:bookmarkEnd w:id="246"/>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247" w:name="_Toc455996782"/>
      <w:bookmarkStart w:id="248" w:name="_Toc92787223"/>
      <w:bookmarkStart w:id="249" w:name="_Toc202521530"/>
      <w:r>
        <w:rPr>
          <w:rStyle w:val="CharSectno"/>
        </w:rPr>
        <w:t>61</w:t>
      </w:r>
      <w:r>
        <w:rPr>
          <w:snapToGrid w:val="0"/>
        </w:rPr>
        <w:t>.</w:t>
      </w:r>
      <w:r>
        <w:rPr>
          <w:snapToGrid w:val="0"/>
        </w:rPr>
        <w:tab/>
        <w:t>Additional circumstances when payments may be made by instalments</w:t>
      </w:r>
      <w:bookmarkEnd w:id="247"/>
      <w:bookmarkEnd w:id="248"/>
      <w:bookmarkEnd w:id="249"/>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50" w:name="_Toc455996783"/>
      <w:bookmarkStart w:id="251" w:name="_Toc92787224"/>
      <w:bookmarkStart w:id="252" w:name="_Toc202521531"/>
      <w:r>
        <w:rPr>
          <w:rStyle w:val="CharSectno"/>
        </w:rPr>
        <w:t>62</w:t>
      </w:r>
      <w:r>
        <w:rPr>
          <w:snapToGrid w:val="0"/>
        </w:rPr>
        <w:t>.</w:t>
      </w:r>
      <w:r>
        <w:rPr>
          <w:snapToGrid w:val="0"/>
        </w:rPr>
        <w:tab/>
        <w:t>Instalments for interim rating</w:t>
      </w:r>
      <w:bookmarkEnd w:id="250"/>
      <w:bookmarkEnd w:id="251"/>
      <w:bookmarkEnd w:id="252"/>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53" w:name="_Toc455996784"/>
      <w:bookmarkStart w:id="254" w:name="_Toc92787225"/>
      <w:bookmarkStart w:id="255" w:name="_Toc202521532"/>
      <w:r>
        <w:rPr>
          <w:rStyle w:val="CharSectno"/>
        </w:rPr>
        <w:t>63</w:t>
      </w:r>
      <w:r>
        <w:rPr>
          <w:snapToGrid w:val="0"/>
        </w:rPr>
        <w:t>.</w:t>
      </w:r>
      <w:r>
        <w:rPr>
          <w:snapToGrid w:val="0"/>
        </w:rPr>
        <w:tab/>
        <w:t>Sale of property — effect on payment by instalment</w:t>
      </w:r>
      <w:bookmarkEnd w:id="253"/>
      <w:bookmarkEnd w:id="254"/>
      <w:bookmarkEnd w:id="255"/>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56" w:name="_Toc455996785"/>
      <w:bookmarkStart w:id="257" w:name="_Toc92787226"/>
      <w:bookmarkStart w:id="258" w:name="_Toc202521533"/>
      <w:r>
        <w:rPr>
          <w:rStyle w:val="CharSectno"/>
        </w:rPr>
        <w:t>64</w:t>
      </w:r>
      <w:r>
        <w:rPr>
          <w:snapToGrid w:val="0"/>
        </w:rPr>
        <w:t>.</w:t>
      </w:r>
      <w:r>
        <w:rPr>
          <w:snapToGrid w:val="0"/>
        </w:rPr>
        <w:tab/>
        <w:t>Due dates of instalments</w:t>
      </w:r>
      <w:bookmarkEnd w:id="256"/>
      <w:bookmarkEnd w:id="257"/>
      <w:bookmarkEnd w:id="258"/>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59" w:name="_Toc455996786"/>
      <w:bookmarkStart w:id="260" w:name="_Toc92787227"/>
      <w:bookmarkStart w:id="261" w:name="_Toc202521534"/>
      <w:r>
        <w:rPr>
          <w:rStyle w:val="CharSectno"/>
        </w:rPr>
        <w:t>65</w:t>
      </w:r>
      <w:r>
        <w:rPr>
          <w:snapToGrid w:val="0"/>
        </w:rPr>
        <w:t>.</w:t>
      </w:r>
      <w:r>
        <w:rPr>
          <w:snapToGrid w:val="0"/>
        </w:rPr>
        <w:tab/>
        <w:t>Payments of instalments due on public holidays</w:t>
      </w:r>
      <w:bookmarkEnd w:id="259"/>
      <w:bookmarkEnd w:id="260"/>
      <w:bookmarkEnd w:id="261"/>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62" w:name="_Toc455996787"/>
      <w:bookmarkStart w:id="263" w:name="_Toc92787228"/>
      <w:bookmarkStart w:id="264" w:name="_Toc202521535"/>
      <w:r>
        <w:rPr>
          <w:rStyle w:val="CharSectno"/>
        </w:rPr>
        <w:t>66</w:t>
      </w:r>
      <w:r>
        <w:rPr>
          <w:snapToGrid w:val="0"/>
        </w:rPr>
        <w:t>.</w:t>
      </w:r>
      <w:r>
        <w:rPr>
          <w:snapToGrid w:val="0"/>
        </w:rPr>
        <w:tab/>
        <w:t>Revocation of instalment option</w:t>
      </w:r>
      <w:bookmarkEnd w:id="262"/>
      <w:bookmarkEnd w:id="263"/>
      <w:bookmarkEnd w:id="264"/>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265" w:name="_Toc455996788"/>
      <w:bookmarkStart w:id="266" w:name="_Toc92787229"/>
      <w:bookmarkStart w:id="267" w:name="_Toc202521536"/>
      <w:r>
        <w:rPr>
          <w:rStyle w:val="CharSectno"/>
        </w:rPr>
        <w:t>67</w:t>
      </w:r>
      <w:r>
        <w:t>.</w:t>
      </w:r>
      <w:r>
        <w:tab/>
        <w:t>Additional charge for payment by instalments</w:t>
      </w:r>
      <w:bookmarkEnd w:id="265"/>
      <w:bookmarkEnd w:id="266"/>
      <w:bookmarkEnd w:id="267"/>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68" w:name="_Toc455996789"/>
      <w:bookmarkStart w:id="269" w:name="_Toc92787230"/>
      <w:bookmarkStart w:id="270" w:name="_Toc202521537"/>
      <w:r>
        <w:rPr>
          <w:rStyle w:val="CharSectno"/>
        </w:rPr>
        <w:t>68</w:t>
      </w:r>
      <w:r>
        <w:rPr>
          <w:snapToGrid w:val="0"/>
        </w:rPr>
        <w:t>.</w:t>
      </w:r>
      <w:r>
        <w:rPr>
          <w:snapToGrid w:val="0"/>
        </w:rPr>
        <w:tab/>
        <w:t>Maximum interest component in instalments — s. 6.45(4)(e)</w:t>
      </w:r>
      <w:bookmarkEnd w:id="268"/>
      <w:bookmarkEnd w:id="269"/>
      <w:bookmarkEnd w:id="270"/>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w:t>
      </w:r>
    </w:p>
    <w:p>
      <w:pPr>
        <w:pStyle w:val="Heading5"/>
        <w:rPr>
          <w:snapToGrid w:val="0"/>
        </w:rPr>
      </w:pPr>
      <w:bookmarkStart w:id="271" w:name="_Toc455996790"/>
      <w:bookmarkStart w:id="272" w:name="_Toc92787231"/>
      <w:bookmarkStart w:id="273" w:name="_Toc202521538"/>
      <w:r>
        <w:rPr>
          <w:rStyle w:val="CharSectno"/>
        </w:rPr>
        <w:t>69</w:t>
      </w:r>
      <w:r>
        <w:rPr>
          <w:snapToGrid w:val="0"/>
        </w:rPr>
        <w:t>.</w:t>
      </w:r>
      <w:r>
        <w:rPr>
          <w:snapToGrid w:val="0"/>
        </w:rPr>
        <w:tab/>
        <w:t>Calculating interest for instalments</w:t>
      </w:r>
      <w:bookmarkEnd w:id="271"/>
      <w:bookmarkEnd w:id="272"/>
      <w:bookmarkEnd w:id="273"/>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74" w:name="_Toc202521539"/>
      <w:bookmarkStart w:id="275" w:name="_Toc455996791"/>
      <w:bookmarkStart w:id="276" w:name="_Toc92787232"/>
      <w:r>
        <w:rPr>
          <w:rStyle w:val="CharSectno"/>
        </w:rPr>
        <w:t>69A</w:t>
      </w:r>
      <w:r>
        <w:t>.</w:t>
      </w:r>
      <w:r>
        <w:tab/>
        <w:t>Circumstances where concessions under section 6.47 may not be granted — s. 6.48</w:t>
      </w:r>
      <w:bookmarkEnd w:id="274"/>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277" w:name="_Toc202521540"/>
      <w:r>
        <w:rPr>
          <w:rStyle w:val="CharSectno"/>
        </w:rPr>
        <w:t>70</w:t>
      </w:r>
      <w:r>
        <w:rPr>
          <w:snapToGrid w:val="0"/>
        </w:rPr>
        <w:t>.</w:t>
      </w:r>
      <w:r>
        <w:rPr>
          <w:snapToGrid w:val="0"/>
        </w:rPr>
        <w:tab/>
        <w:t>Maximum rate of interest on overdue rates and service charges — s. </w:t>
      </w:r>
      <w:r>
        <w:rPr>
          <w:rStyle w:val="CharSectno"/>
        </w:rPr>
        <w:t>6</w:t>
      </w:r>
      <w:r>
        <w:rPr>
          <w:snapToGrid w:val="0"/>
        </w:rPr>
        <w:t>.51(2)</w:t>
      </w:r>
      <w:bookmarkEnd w:id="275"/>
      <w:bookmarkEnd w:id="276"/>
      <w:bookmarkEnd w:id="277"/>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w:t>
      </w:r>
    </w:p>
    <w:p>
      <w:pPr>
        <w:pStyle w:val="Heading5"/>
        <w:rPr>
          <w:snapToGrid w:val="0"/>
        </w:rPr>
      </w:pPr>
      <w:bookmarkStart w:id="278" w:name="_Toc455996792"/>
      <w:bookmarkStart w:id="279" w:name="_Toc92787233"/>
      <w:bookmarkStart w:id="280" w:name="_Toc202521541"/>
      <w:r>
        <w:rPr>
          <w:rStyle w:val="CharSectno"/>
        </w:rPr>
        <w:t>71</w:t>
      </w:r>
      <w:r>
        <w:rPr>
          <w:snapToGrid w:val="0"/>
        </w:rPr>
        <w:t>.</w:t>
      </w:r>
      <w:r>
        <w:rPr>
          <w:snapToGrid w:val="0"/>
        </w:rPr>
        <w:tab/>
        <w:t>Calculating interest on overdue rates and service charges</w:t>
      </w:r>
      <w:bookmarkEnd w:id="278"/>
      <w:bookmarkEnd w:id="279"/>
      <w:bookmarkEnd w:id="280"/>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281" w:name="_Toc455996793"/>
      <w:bookmarkStart w:id="282" w:name="_Toc92787234"/>
      <w:bookmarkStart w:id="283" w:name="_Toc202521542"/>
      <w:r>
        <w:rPr>
          <w:rStyle w:val="CharSectno"/>
        </w:rPr>
        <w:t>72</w:t>
      </w:r>
      <w:r>
        <w:rPr>
          <w:snapToGrid w:val="0"/>
        </w:rPr>
        <w:t>.</w:t>
      </w:r>
      <w:r>
        <w:rPr>
          <w:snapToGrid w:val="0"/>
        </w:rPr>
        <w:tab/>
        <w:t>Form of notification of local government taking possession of land — s. </w:t>
      </w:r>
      <w:r>
        <w:rPr>
          <w:rStyle w:val="CharSectno"/>
        </w:rPr>
        <w:t>6</w:t>
      </w:r>
      <w:r>
        <w:rPr>
          <w:snapToGrid w:val="0"/>
        </w:rPr>
        <w:t>.64(2)</w:t>
      </w:r>
      <w:bookmarkEnd w:id="281"/>
      <w:bookmarkEnd w:id="282"/>
      <w:bookmarkEnd w:id="283"/>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284" w:name="_Toc455996794"/>
      <w:bookmarkStart w:id="285" w:name="_Toc92787235"/>
      <w:bookmarkStart w:id="286" w:name="_Toc202521543"/>
      <w:r>
        <w:rPr>
          <w:rStyle w:val="CharSectno"/>
        </w:rPr>
        <w:t>73</w:t>
      </w:r>
      <w:r>
        <w:rPr>
          <w:snapToGrid w:val="0"/>
        </w:rPr>
        <w:t>.</w:t>
      </w:r>
      <w:r>
        <w:rPr>
          <w:snapToGrid w:val="0"/>
        </w:rPr>
        <w:tab/>
        <w:t>Form of notice to be affixed to land when local government takes possession of land — s. </w:t>
      </w:r>
      <w:r>
        <w:rPr>
          <w:rStyle w:val="CharSectno"/>
        </w:rPr>
        <w:t>6</w:t>
      </w:r>
      <w:r>
        <w:rPr>
          <w:snapToGrid w:val="0"/>
        </w:rPr>
        <w:t>.64(2)</w:t>
      </w:r>
      <w:bookmarkEnd w:id="284"/>
      <w:bookmarkEnd w:id="285"/>
      <w:bookmarkEnd w:id="286"/>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287" w:name="_Toc455996795"/>
      <w:bookmarkStart w:id="288" w:name="_Toc92787236"/>
      <w:bookmarkStart w:id="289" w:name="_Toc202521544"/>
      <w:r>
        <w:rPr>
          <w:rStyle w:val="CharSectno"/>
        </w:rPr>
        <w:t>74</w:t>
      </w:r>
      <w:r>
        <w:rPr>
          <w:snapToGrid w:val="0"/>
        </w:rPr>
        <w:t>.</w:t>
      </w:r>
      <w:r>
        <w:rPr>
          <w:snapToGrid w:val="0"/>
        </w:rPr>
        <w:tab/>
        <w:t>Exercise of power of sale of land for non</w:t>
      </w:r>
      <w:r>
        <w:rPr>
          <w:snapToGrid w:val="0"/>
        </w:rPr>
        <w:noBreakHyphen/>
        <w:t>payment of rates etc. — s. </w:t>
      </w:r>
      <w:r>
        <w:rPr>
          <w:rStyle w:val="CharSectno"/>
        </w:rPr>
        <w:t>6</w:t>
      </w:r>
      <w:r>
        <w:rPr>
          <w:snapToGrid w:val="0"/>
        </w:rPr>
        <w:t>.68(3)</w:t>
      </w:r>
      <w:bookmarkEnd w:id="287"/>
      <w:bookmarkEnd w:id="288"/>
      <w:bookmarkEnd w:id="289"/>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290" w:name="_Toc455996796"/>
      <w:bookmarkStart w:id="291" w:name="_Toc92787237"/>
      <w:bookmarkStart w:id="292" w:name="_Toc202521545"/>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290"/>
      <w:r>
        <w:rPr>
          <w:snapToGrid w:val="0"/>
        </w:rPr>
        <w:t>s. 6.68(3) and Sch. 6.3 item 2(1)(a)</w:t>
      </w:r>
      <w:bookmarkEnd w:id="291"/>
      <w:bookmarkEnd w:id="292"/>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293" w:name="_Toc455996797"/>
      <w:bookmarkStart w:id="294" w:name="_Toc92787238"/>
      <w:bookmarkStart w:id="295" w:name="_Toc202521546"/>
      <w:r>
        <w:rPr>
          <w:rStyle w:val="CharSectno"/>
        </w:rPr>
        <w:t>76</w:t>
      </w:r>
      <w:r>
        <w:rPr>
          <w:snapToGrid w:val="0"/>
        </w:rPr>
        <w:t>.</w:t>
      </w:r>
      <w:r>
        <w:rPr>
          <w:snapToGrid w:val="0"/>
        </w:rPr>
        <w:tab/>
        <w:t>Payment of rates etc. to stay sale of land for non</w:t>
      </w:r>
      <w:r>
        <w:rPr>
          <w:snapToGrid w:val="0"/>
        </w:rPr>
        <w:noBreakHyphen/>
        <w:t>payment</w:t>
      </w:r>
      <w:bookmarkEnd w:id="293"/>
      <w:bookmarkEnd w:id="294"/>
      <w:bookmarkEnd w:id="295"/>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 Registrar of Deeds,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Upon receipt of the certificate referred to in subregulation (1) the Registrar of Titles or the Registrar of Deeds is to endorse a memorandum that the land has ceased to be bound by the memorial.</w:t>
      </w:r>
    </w:p>
    <w:p>
      <w:pPr>
        <w:pStyle w:val="Heading5"/>
        <w:rPr>
          <w:snapToGrid w:val="0"/>
        </w:rPr>
      </w:pPr>
      <w:bookmarkStart w:id="296" w:name="_Toc455996798"/>
      <w:bookmarkStart w:id="297" w:name="_Toc92787239"/>
      <w:bookmarkStart w:id="298" w:name="_Toc202521547"/>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296"/>
      <w:bookmarkEnd w:id="297"/>
      <w:bookmarkEnd w:id="298"/>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299" w:name="_Toc455996799"/>
      <w:bookmarkStart w:id="300" w:name="_Toc92787240"/>
      <w:bookmarkStart w:id="301" w:name="_Toc202521548"/>
      <w:r>
        <w:rPr>
          <w:rStyle w:val="CharSectno"/>
        </w:rPr>
        <w:t>78</w:t>
      </w:r>
      <w:r>
        <w:rPr>
          <w:snapToGrid w:val="0"/>
        </w:rPr>
        <w:t>.</w:t>
      </w:r>
      <w:r>
        <w:rPr>
          <w:snapToGrid w:val="0"/>
        </w:rPr>
        <w:tab/>
        <w:t>Revestment of land in Crown for non</w:t>
      </w:r>
      <w:r>
        <w:rPr>
          <w:snapToGrid w:val="0"/>
        </w:rPr>
        <w:noBreakHyphen/>
        <w:t>payment of rates etc. — s. </w:t>
      </w:r>
      <w:r>
        <w:rPr>
          <w:rStyle w:val="CharSectno"/>
        </w:rPr>
        <w:t>6</w:t>
      </w:r>
      <w:r>
        <w:rPr>
          <w:snapToGrid w:val="0"/>
        </w:rPr>
        <w:t>.74 and Sch. 6.3 item 8(6)</w:t>
      </w:r>
      <w:bookmarkEnd w:id="299"/>
      <w:bookmarkEnd w:id="300"/>
      <w:bookmarkEnd w:id="301"/>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302" w:name="_Toc202521549"/>
      <w:r>
        <w:rPr>
          <w:rStyle w:val="CharPartNo"/>
        </w:rPr>
        <w:t>Part 6</w:t>
      </w:r>
      <w:r>
        <w:rPr>
          <w:rStyle w:val="CharDivNo"/>
        </w:rPr>
        <w:t> </w:t>
      </w:r>
      <w:r>
        <w:t>—</w:t>
      </w:r>
      <w:r>
        <w:rPr>
          <w:rStyle w:val="CharDivText"/>
        </w:rPr>
        <w:t> </w:t>
      </w:r>
      <w:r>
        <w:rPr>
          <w:rStyle w:val="CharPartText"/>
        </w:rPr>
        <w:t>Transitional matters</w:t>
      </w:r>
      <w:bookmarkEnd w:id="302"/>
    </w:p>
    <w:p>
      <w:pPr>
        <w:pStyle w:val="Footnoteheading"/>
      </w:pPr>
      <w:r>
        <w:tab/>
        <w:t>[Heading inserted in Gazette 20 Jun 2008 p. 2727.]</w:t>
      </w:r>
    </w:p>
    <w:p>
      <w:pPr>
        <w:pStyle w:val="Heading5"/>
      </w:pPr>
      <w:bookmarkStart w:id="303" w:name="_Toc202521550"/>
      <w:r>
        <w:rPr>
          <w:rStyle w:val="CharSectno"/>
        </w:rPr>
        <w:t>79</w:t>
      </w:r>
      <w:r>
        <w:t>.</w:t>
      </w:r>
      <w:r>
        <w:tab/>
      </w:r>
      <w:r>
        <w:rPr>
          <w:i/>
        </w:rPr>
        <w:t>Local Government (Financial Management) Amendment Regulations 2008</w:t>
      </w:r>
      <w:r>
        <w:rPr>
          <w:iCs/>
        </w:rPr>
        <w:t>, provisions for</w:t>
      </w:r>
      <w:bookmarkEnd w:id="303"/>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2008</w:t>
      </w:r>
      <w:r>
        <w:t>, other than regulations 1 and 2 of those regulations;</w:t>
      </w:r>
    </w:p>
    <w:p>
      <w:pPr>
        <w:pStyle w:val="Defstart"/>
      </w:pPr>
      <w:r>
        <w:rPr>
          <w:b/>
        </w:rPr>
        <w:tab/>
      </w:r>
      <w:r>
        <w:rPr>
          <w:rStyle w:val="CharDefText"/>
        </w:rPr>
        <w:t>new law</w:t>
      </w:r>
      <w:r>
        <w:t xml:space="preserve"> means these regulations as in force after the amending regulations come into operation;</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required for, and other matters relating to, the financial year ending on 30 June 2008.</w:t>
      </w:r>
    </w:p>
    <w:p>
      <w:pPr>
        <w:pStyle w:val="Subsection"/>
      </w:pPr>
      <w:r>
        <w:tab/>
        <w:t>(4)</w:t>
      </w:r>
      <w:r>
        <w:tab/>
        <w:t>If a budget for the financial year beginning on 1 July 2008 is adopted under section 6.2 before that date, it need not be revised to be in accordance with the new law.</w:t>
      </w:r>
    </w:p>
    <w:p>
      <w:pPr>
        <w:pStyle w:val="Footnotesection"/>
      </w:pPr>
      <w:r>
        <w:tab/>
        <w:t>[Regulation 79 inserted in Gazette 20 Jun 2008 p. 2727.]</w:t>
      </w:r>
    </w:p>
    <w:p>
      <w:pPr>
        <w:rPr>
          <w:rStyle w:val="CharDivText"/>
        </w:r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pgNumType w:start="1"/>
          <w:cols w:space="720"/>
          <w:noEndnote/>
          <w:titlePg/>
          <w:docGrid w:linePitch="326"/>
        </w:sectPr>
      </w:pPr>
    </w:p>
    <w:p>
      <w:pPr>
        <w:pStyle w:val="yScheduleHeading"/>
      </w:pPr>
      <w:bookmarkStart w:id="304" w:name="_Toc92787065"/>
      <w:bookmarkStart w:id="305" w:name="_Toc92787153"/>
      <w:bookmarkStart w:id="306" w:name="_Toc92787241"/>
      <w:bookmarkStart w:id="307" w:name="_Toc127076159"/>
      <w:bookmarkStart w:id="308" w:name="_Toc127246678"/>
      <w:bookmarkStart w:id="309" w:name="_Toc128203565"/>
      <w:bookmarkStart w:id="310" w:name="_Toc128280136"/>
      <w:bookmarkStart w:id="311" w:name="_Toc202521551"/>
      <w:r>
        <w:rPr>
          <w:rStyle w:val="CharSchNo"/>
        </w:rPr>
        <w:t>Schedule 1</w:t>
      </w:r>
      <w:bookmarkEnd w:id="304"/>
      <w:bookmarkEnd w:id="305"/>
      <w:bookmarkEnd w:id="306"/>
      <w:bookmarkEnd w:id="307"/>
      <w:bookmarkEnd w:id="308"/>
      <w:bookmarkEnd w:id="309"/>
      <w:bookmarkEnd w:id="310"/>
      <w:bookmarkEnd w:id="311"/>
    </w:p>
    <w:p>
      <w:pPr>
        <w:pStyle w:val="yShoulderClause"/>
        <w:rPr>
          <w:snapToGrid w:val="0"/>
        </w:rPr>
      </w:pPr>
      <w:r>
        <w:rPr>
          <w:snapToGrid w:val="0"/>
        </w:rPr>
        <w:t>[reg. 3]</w:t>
      </w:r>
    </w:p>
    <w:p>
      <w:pPr>
        <w:pStyle w:val="yHeading3"/>
        <w:spacing w:after="80"/>
        <w:rPr>
          <w:snapToGrid w:val="0"/>
        </w:rPr>
      </w:pPr>
      <w:bookmarkStart w:id="312" w:name="_Toc127246679"/>
      <w:bookmarkStart w:id="313" w:name="_Toc128203566"/>
      <w:bookmarkStart w:id="314" w:name="_Toc128280137"/>
      <w:bookmarkStart w:id="315" w:name="_Toc202521552"/>
      <w:r>
        <w:rPr>
          <w:rStyle w:val="CharSDivNo"/>
        </w:rPr>
        <w:t>Part 1</w:t>
      </w:r>
      <w:r>
        <w:rPr>
          <w:rStyle w:val="CharSchText"/>
        </w:rPr>
        <w:t> </w:t>
      </w:r>
      <w:r>
        <w:rPr>
          <w:snapToGrid w:val="0"/>
        </w:rPr>
        <w:t>— </w:t>
      </w:r>
      <w:r>
        <w:rPr>
          <w:rStyle w:val="CharSDivText"/>
        </w:rPr>
        <w:t>Local government program titles</w:t>
      </w:r>
      <w:bookmarkEnd w:id="312"/>
      <w:bookmarkEnd w:id="313"/>
      <w:bookmarkEnd w:id="314"/>
      <w:bookmarkEnd w:id="315"/>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316" w:name="_Toc127246680"/>
      <w:r>
        <w:tab/>
        <w:t>[Part 1 amended in Gazette 20 Jun 1997 p. 2844.]</w:t>
      </w:r>
    </w:p>
    <w:p>
      <w:pPr>
        <w:pStyle w:val="yHeading3"/>
        <w:rPr>
          <w:rStyle w:val="CharSDivText"/>
        </w:rPr>
      </w:pPr>
      <w:bookmarkStart w:id="317" w:name="_Toc202521553"/>
      <w:bookmarkStart w:id="318" w:name="_Toc92787066"/>
      <w:bookmarkStart w:id="319" w:name="_Toc92787154"/>
      <w:bookmarkStart w:id="320" w:name="_Toc92787242"/>
      <w:bookmarkStart w:id="321" w:name="_Toc127076160"/>
      <w:bookmarkStart w:id="322" w:name="_Toc127246681"/>
      <w:bookmarkStart w:id="323" w:name="_Toc128203568"/>
      <w:bookmarkStart w:id="324" w:name="_Toc128280139"/>
      <w:bookmarkEnd w:id="316"/>
      <w:r>
        <w:rPr>
          <w:rStyle w:val="CharSDivNo"/>
        </w:rPr>
        <w:t>Part 2</w:t>
      </w:r>
      <w:r>
        <w:rPr>
          <w:b w:val="0"/>
        </w:rPr>
        <w:t> — </w:t>
      </w:r>
      <w:r>
        <w:rPr>
          <w:rStyle w:val="CharSDivText"/>
        </w:rPr>
        <w:t>Nature or type classifications</w:t>
      </w:r>
      <w:bookmarkEnd w:id="317"/>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325" w:name="_Toc202521554"/>
      <w:r>
        <w:rPr>
          <w:rStyle w:val="CharSchNo"/>
        </w:rPr>
        <w:t>Schedule 2</w:t>
      </w:r>
      <w:bookmarkEnd w:id="318"/>
      <w:bookmarkEnd w:id="319"/>
      <w:bookmarkEnd w:id="320"/>
      <w:bookmarkEnd w:id="321"/>
      <w:bookmarkEnd w:id="322"/>
      <w:bookmarkEnd w:id="323"/>
      <w:bookmarkEnd w:id="324"/>
      <w:bookmarkEnd w:id="325"/>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pPr>
      <w:bookmarkStart w:id="326" w:name="_Toc92787067"/>
      <w:bookmarkStart w:id="327" w:name="_Toc92787155"/>
      <w:bookmarkStart w:id="328" w:name="_Toc92787243"/>
      <w:bookmarkStart w:id="329" w:name="_Toc92787331"/>
      <w:bookmarkStart w:id="330" w:name="_Toc92964416"/>
      <w:bookmarkStart w:id="331" w:name="_Toc93220417"/>
      <w:bookmarkStart w:id="332" w:name="_Toc107800390"/>
      <w:bookmarkStart w:id="333" w:name="_Toc125779504"/>
      <w:bookmarkStart w:id="334" w:name="_Toc127076161"/>
      <w:bookmarkStart w:id="335" w:name="_Toc127246682"/>
      <w:bookmarkStart w:id="336" w:name="_Toc128203569"/>
      <w:bookmarkStart w:id="337" w:name="_Toc128280140"/>
      <w:bookmarkStart w:id="338" w:name="_Toc202521555"/>
      <w:r>
        <w:t>Notes</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39" w:name="_Toc202521556"/>
      <w:r>
        <w:t>Compilation table</w:t>
      </w:r>
      <w:bookmarkEnd w:id="33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Local Government (Financial Management) Amendment Regulations 2008</w:t>
            </w:r>
          </w:p>
        </w:tc>
        <w:tc>
          <w:tcPr>
            <w:tcW w:w="1276" w:type="dxa"/>
            <w:tcBorders>
              <w:bottom w:val="single" w:sz="4" w:space="0" w:color="auto"/>
            </w:tcBorders>
          </w:tcPr>
          <w:p>
            <w:pPr>
              <w:pStyle w:val="nTable"/>
              <w:spacing w:after="40"/>
              <w:rPr>
                <w:sz w:val="19"/>
              </w:rPr>
            </w:pPr>
            <w:r>
              <w:rPr>
                <w:sz w:val="19"/>
              </w:rPr>
              <w:t>20 Jun 2008 p. 2720-8</w:t>
            </w:r>
          </w:p>
        </w:tc>
        <w:tc>
          <w:tcPr>
            <w:tcW w:w="2693" w:type="dxa"/>
            <w:tcBorders>
              <w:bottom w:val="single" w:sz="4" w:space="0" w:color="auto"/>
            </w:tcBorders>
          </w:tcPr>
          <w:p>
            <w:pPr>
              <w:pStyle w:val="nTable"/>
              <w:spacing w:after="40"/>
              <w:rPr>
                <w:sz w:val="19"/>
              </w:rPr>
            </w:pPr>
            <w:r>
              <w:rPr>
                <w:snapToGrid w:val="0"/>
                <w:sz w:val="19"/>
                <w:lang w:val="en-US"/>
              </w:rPr>
              <w:t>r. 1 and 2: 20 Jun 2008 (see </w:t>
            </w:r>
            <w:bookmarkStart w:id="340" w:name="UpToHere"/>
            <w:bookmarkEnd w:id="340"/>
            <w:r>
              <w:rPr>
                <w:snapToGrid w:val="0"/>
                <w:sz w:val="19"/>
                <w:lang w:val="en-US"/>
              </w:rPr>
              <w:t>r. 2(a))</w:t>
            </w:r>
            <w:r>
              <w:rPr>
                <w:snapToGrid w:val="0"/>
                <w:sz w:val="19"/>
                <w:lang w:val="en-US"/>
              </w:rPr>
              <w:br/>
              <w:t>Regulations other than r. 1 and 2: 1 Jul 2008 (see r. 2(b))</w:t>
            </w:r>
          </w:p>
        </w:tc>
      </w:tr>
    </w:tbl>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Local government program titles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Local government program titles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52"/>
    <w:docVar w:name="WAFER_20151207141652" w:val="RemoveTrackChanges"/>
    <w:docVar w:name="WAFER_20151207141652_GUID" w:val="51130313-30ab-4b47-87b3-9aaec59f3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9.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16270</Words>
  <Characters>81191</Characters>
  <Application>Microsoft Office Word</Application>
  <DocSecurity>0</DocSecurity>
  <Lines>2460</Lines>
  <Paragraphs>1624</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1996 - 02-b0-06</dc:title>
  <dc:subject/>
  <dc:creator/>
  <cp:keywords/>
  <dc:description/>
  <cp:lastModifiedBy>svcMRProcess</cp:lastModifiedBy>
  <cp:revision>4</cp:revision>
  <cp:lastPrinted>2006-02-21T03:11:00Z</cp:lastPrinted>
  <dcterms:created xsi:type="dcterms:W3CDTF">2020-02-26T02:10:00Z</dcterms:created>
  <dcterms:modified xsi:type="dcterms:W3CDTF">2020-02-26T02:10:00Z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02-b0-06</vt:lpwstr>
  </property>
</Properties>
</file>