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Children’s Court of Western Australia Act 1988</w:t>
      </w:r>
    </w:p>
    <w:p>
      <w:pPr>
        <w:pStyle w:val="NameofActRegPage1"/>
        <w:spacing w:before="1800" w:after="4200"/>
      </w:pPr>
      <w:r>
        <w:fldChar w:fldCharType="begin"/>
      </w:r>
      <w:r>
        <w:instrText xml:space="preserve"> STYLEREF "Name Of Act/Reg"</w:instrText>
      </w:r>
      <w:r>
        <w:fldChar w:fldCharType="separate"/>
      </w:r>
      <w:r>
        <w:rPr>
          <w:noProof/>
        </w:rPr>
        <w:t>Children’s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_Toc202585838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_Toc202585839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_Toc202585840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_Toc202585841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_Toc202585842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_Toc202585843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_Toc202585844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_Toc202585845 \h </w:instrText>
      </w:r>
      <w:r>
        <w:fldChar w:fldCharType="separate"/>
      </w:r>
      <w:r>
        <w:t>3</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_Toc202585846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_Toc202585847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_Toc202585848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_Toc202585854 \h </w:instrText>
      </w:r>
      <w:r>
        <w:fldChar w:fldCharType="separate"/>
      </w:r>
      <w:r>
        <w:t>11</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_Toc202585855 \h </w:instrText>
      </w:r>
      <w:r>
        <w:fldChar w:fldCharType="separate"/>
      </w:r>
      <w:r>
        <w:t>14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_Toc202585857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20258583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20258583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4713"/>
      <w:bookmarkStart w:id="21" w:name="_Toc138836652"/>
      <w:bookmarkStart w:id="22" w:name="_Toc202585840"/>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202585841"/>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96756225"/>
      <w:bookmarkStart w:id="44" w:name="_Toc100634715"/>
      <w:bookmarkStart w:id="45" w:name="_Toc138836654"/>
      <w:bookmarkStart w:id="46" w:name="_Toc202585842"/>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7" w:name="_Toc96756226"/>
      <w:bookmarkStart w:id="48" w:name="_Toc100634716"/>
      <w:bookmarkStart w:id="49" w:name="_Toc138836655"/>
      <w:bookmarkStart w:id="50" w:name="_Toc202585843"/>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202585844"/>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202585845"/>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Heading5"/>
        <w:rPr>
          <w:snapToGrid w:val="0"/>
        </w:rPr>
      </w:pPr>
      <w:bookmarkStart w:id="79" w:name="_Toc61252563"/>
      <w:bookmarkStart w:id="80" w:name="_Toc96402835"/>
      <w:bookmarkStart w:id="81" w:name="_Toc100634719"/>
      <w:bookmarkStart w:id="82" w:name="_Toc138836658"/>
      <w:bookmarkStart w:id="83" w:name="_Toc202585846"/>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202585847"/>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202585848"/>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r>
        <w:rPr>
          <w:rStyle w:val="CharSchNo"/>
        </w:rPr>
        <w:t>Schedule 1</w:t>
      </w:r>
      <w:r>
        <w:t> — </w:t>
      </w:r>
      <w:r>
        <w:rPr>
          <w:rStyle w:val="CharSchText"/>
        </w:rPr>
        <w:t>Fees</w:t>
      </w:r>
      <w:bookmarkEnd w:id="92"/>
      <w:bookmarkEnd w:id="93"/>
      <w:bookmarkEnd w:id="94"/>
      <w:bookmarkEnd w:id="95"/>
      <w:bookmarkEnd w:id="96"/>
      <w:bookmarkEnd w:id="97"/>
      <w:bookmarkEnd w:id="98"/>
    </w:p>
    <w:p>
      <w:pPr>
        <w:pStyle w:val="yShoulderClause"/>
      </w:pPr>
      <w:r>
        <w:t>[r. 4]</w:t>
      </w:r>
    </w:p>
    <w:p>
      <w:pPr>
        <w:pStyle w:val="yHeading3"/>
        <w:spacing w:after="120"/>
      </w:pPr>
      <w:bookmarkStart w:id="99" w:name="_Toc96756237"/>
      <w:bookmarkStart w:id="100" w:name="_Toc100634723"/>
      <w:bookmarkStart w:id="101" w:name="_Toc138836662"/>
      <w:bookmarkStart w:id="102" w:name="_Toc138836730"/>
      <w:bookmarkStart w:id="103" w:name="_Toc139270567"/>
      <w:bookmarkStart w:id="104" w:name="_Toc171051334"/>
      <w:bookmarkStart w:id="105" w:name="_Toc193167424"/>
      <w:bookmarkStart w:id="106" w:name="_Toc202585850"/>
      <w:r>
        <w:rPr>
          <w:rStyle w:val="CharSDivNo"/>
        </w:rPr>
        <w:t>Division 1</w:t>
      </w:r>
      <w:r>
        <w:rPr>
          <w:b w:val="0"/>
        </w:rPr>
        <w:t> — </w:t>
      </w:r>
      <w:r>
        <w:rPr>
          <w:rStyle w:val="CharSDivText"/>
        </w:rPr>
        <w:t>General</w:t>
      </w:r>
      <w:bookmarkEnd w:id="99"/>
      <w:bookmarkEnd w:id="100"/>
      <w:bookmarkEnd w:id="101"/>
      <w:bookmarkEnd w:id="102"/>
      <w:bookmarkEnd w:id="103"/>
      <w:bookmarkEnd w:id="104"/>
      <w:bookmarkEnd w:id="105"/>
      <w:bookmarkEnd w:id="106"/>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1.10</w:t>
            </w:r>
            <w:r>
              <w:rPr>
                <w:sz w:val="20"/>
              </w:rPr>
              <w:br/>
            </w: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t>25.00</w:t>
            </w:r>
          </w:p>
          <w:p>
            <w:pPr>
              <w:pStyle w:val="yTable"/>
              <w:spacing w:before="0"/>
              <w:jc w:val="center"/>
              <w:rPr>
                <w:sz w:val="20"/>
              </w:rPr>
            </w:pPr>
            <w:r>
              <w:rPr>
                <w:sz w:val="20"/>
              </w:rPr>
              <w:br/>
            </w:r>
            <w:r>
              <w:rPr>
                <w:sz w:val="20"/>
              </w:rPr>
              <w:br/>
            </w:r>
            <w:r>
              <w:rPr>
                <w:sz w:val="20"/>
              </w:rPr>
              <w:br/>
              <w:t>25.00</w:t>
            </w:r>
          </w:p>
          <w:p>
            <w:pPr>
              <w:pStyle w:val="yTable"/>
              <w:jc w:val="center"/>
              <w:rPr>
                <w:sz w:val="20"/>
              </w:rPr>
            </w:pPr>
            <w:r>
              <w:rPr>
                <w:sz w:val="20"/>
              </w:rPr>
              <w:br/>
              <w:t>61.50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t>36.50</w:t>
            </w:r>
          </w:p>
          <w:p>
            <w:pPr>
              <w:pStyle w:val="yTable"/>
              <w:jc w:val="center"/>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8.65</w:t>
            </w:r>
          </w:p>
          <w:p>
            <w:pPr>
              <w:pStyle w:val="yTable"/>
              <w:jc w:val="center"/>
              <w:rPr>
                <w:sz w:val="20"/>
              </w:rPr>
            </w:pPr>
            <w:r>
              <w:rPr>
                <w:sz w:val="20"/>
              </w:rPr>
              <w:br/>
            </w:r>
            <w:r>
              <w:rPr>
                <w:sz w:val="20"/>
              </w:rPr>
              <w:br/>
              <w:t>1.10</w:t>
            </w:r>
          </w:p>
          <w:p>
            <w:pPr>
              <w:pStyle w:val="yTable"/>
              <w:jc w:val="center"/>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4.85</w:t>
            </w:r>
          </w:p>
          <w:p>
            <w:pPr>
              <w:pStyle w:val="yTable"/>
              <w:jc w:val="center"/>
              <w:rPr>
                <w:sz w:val="20"/>
              </w:rPr>
            </w:pPr>
            <w:r>
              <w:rPr>
                <w:sz w:val="20"/>
              </w:rPr>
              <w:br/>
            </w:r>
            <w:r>
              <w:rPr>
                <w:sz w:val="20"/>
              </w:rPr>
              <w:br/>
            </w:r>
            <w:r>
              <w:rPr>
                <w:sz w:val="20"/>
              </w:rPr>
              <w:br/>
            </w:r>
            <w:r>
              <w:rPr>
                <w:sz w:val="20"/>
              </w:rPr>
              <w:br/>
              <w:t>12.00</w:t>
            </w:r>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07" w:name="_Toc96756238"/>
      <w:bookmarkStart w:id="108" w:name="_Toc100634724"/>
      <w:r>
        <w:tab/>
        <w:t>[Division 1 amended in Gazette 23 Jun 2006 p. 2182; 26 Jun 2007 p. 3040-1; 27 Jun 2008 p. 3071.]</w:t>
      </w:r>
    </w:p>
    <w:p>
      <w:pPr>
        <w:pStyle w:val="yHeading3"/>
        <w:spacing w:after="240"/>
      </w:pPr>
      <w:bookmarkStart w:id="109" w:name="_Toc138836663"/>
      <w:bookmarkStart w:id="110" w:name="_Toc138836731"/>
      <w:bookmarkStart w:id="111" w:name="_Toc139270568"/>
      <w:bookmarkStart w:id="112" w:name="_Toc171051335"/>
      <w:bookmarkStart w:id="113" w:name="_Toc193167425"/>
      <w:bookmarkStart w:id="114" w:name="_Toc202585851"/>
      <w:r>
        <w:rPr>
          <w:rStyle w:val="CharSDivNo"/>
        </w:rPr>
        <w:t>Division 2</w:t>
      </w:r>
      <w:r>
        <w:rPr>
          <w:b w:val="0"/>
        </w:rPr>
        <w:t> — </w:t>
      </w:r>
      <w:r>
        <w:rPr>
          <w:rStyle w:val="CharSDivText"/>
        </w:rPr>
        <w:t>Civil jurisdiction</w:t>
      </w:r>
      <w:bookmarkEnd w:id="107"/>
      <w:bookmarkEnd w:id="108"/>
      <w:bookmarkEnd w:id="109"/>
      <w:bookmarkEnd w:id="110"/>
      <w:bookmarkEnd w:id="111"/>
      <w:bookmarkEnd w:id="112"/>
      <w:bookmarkEnd w:id="113"/>
      <w:bookmarkEnd w:id="114"/>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t>71.50</w:t>
            </w:r>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r>
              <w:rPr>
                <w:sz w:val="20"/>
              </w:rPr>
              <w:t>78.00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t>78.00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t>20.50</w:t>
            </w:r>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r>
              <w:rPr>
                <w:sz w:val="20"/>
              </w:rPr>
              <w:t>183.00</w:t>
            </w:r>
          </w:p>
        </w:tc>
      </w:tr>
    </w:tbl>
    <w:p>
      <w:pPr>
        <w:pStyle w:val="yFootnotesection"/>
      </w:pPr>
      <w:bookmarkStart w:id="115" w:name="_Toc96756239"/>
      <w:bookmarkStart w:id="116" w:name="_Toc100634725"/>
      <w:r>
        <w:tab/>
        <w:t>[Division 2 amended in Gazette 30 Aug 2005 p. 4054; 23 Jun 2006 p. 2183; 26 Jun 2007 p. 3041; 27 Jun 2008 p. 3071.]</w:t>
      </w:r>
    </w:p>
    <w:p>
      <w:pPr>
        <w:pStyle w:val="yHeading3"/>
        <w:spacing w:after="240"/>
      </w:pPr>
      <w:bookmarkStart w:id="117" w:name="_Toc138836664"/>
      <w:bookmarkStart w:id="118" w:name="_Toc138836732"/>
      <w:bookmarkStart w:id="119" w:name="_Toc139270569"/>
      <w:bookmarkStart w:id="120" w:name="_Toc171051336"/>
      <w:bookmarkStart w:id="121" w:name="_Toc193167426"/>
      <w:bookmarkStart w:id="122" w:name="_Toc202585852"/>
      <w:r>
        <w:rPr>
          <w:rStyle w:val="CharSDivNo"/>
        </w:rPr>
        <w:t>Division 3</w:t>
      </w:r>
      <w:r>
        <w:rPr>
          <w:b w:val="0"/>
        </w:rPr>
        <w:t> — </w:t>
      </w:r>
      <w:r>
        <w:rPr>
          <w:rStyle w:val="CharSDivText"/>
        </w:rPr>
        <w:t>Criminal jurisdiction</w:t>
      </w:r>
      <w:bookmarkEnd w:id="115"/>
      <w:bookmarkEnd w:id="116"/>
      <w:bookmarkEnd w:id="117"/>
      <w:bookmarkEnd w:id="118"/>
      <w:bookmarkEnd w:id="119"/>
      <w:bookmarkEnd w:id="120"/>
      <w:bookmarkEnd w:id="121"/>
      <w:bookmarkEnd w:id="122"/>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23" w:name="_Toc100634726"/>
      <w:r>
        <w:tab/>
        <w:t>[Division 3 amended in Gazette 23 Jun 2006 p. 2183; 26 Jun 2007 p. 3041; 27 Jun 2008 p. 3072.]</w:t>
      </w:r>
    </w:p>
    <w:p>
      <w:pPr>
        <w:pStyle w:val="yScheduleHeading"/>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bookmarkStart w:id="124" w:name="_Toc138836665"/>
      <w:bookmarkStart w:id="125" w:name="_Toc138836733"/>
      <w:bookmarkStart w:id="126" w:name="_Toc139270570"/>
      <w:bookmarkStart w:id="127" w:name="_Toc171051337"/>
    </w:p>
    <w:p>
      <w:pPr>
        <w:pStyle w:val="yScheduleHeading"/>
      </w:pPr>
      <w:bookmarkStart w:id="128" w:name="_Toc193167427"/>
      <w:bookmarkStart w:id="129" w:name="_Toc202585853"/>
      <w:r>
        <w:rPr>
          <w:rStyle w:val="CharSchNo"/>
        </w:rPr>
        <w:t>Schedule 2</w:t>
      </w:r>
      <w:r>
        <w:rPr>
          <w:rStyle w:val="CharSDivNo"/>
        </w:rPr>
        <w:t> </w:t>
      </w:r>
      <w:r>
        <w:t>—</w:t>
      </w:r>
      <w:r>
        <w:rPr>
          <w:rStyle w:val="CharSDivText"/>
        </w:rPr>
        <w:t> </w:t>
      </w:r>
      <w:r>
        <w:rPr>
          <w:rStyle w:val="CharSchText"/>
        </w:rPr>
        <w:t>Forms</w:t>
      </w:r>
      <w:bookmarkEnd w:id="123"/>
      <w:bookmarkEnd w:id="124"/>
      <w:bookmarkEnd w:id="125"/>
      <w:bookmarkEnd w:id="126"/>
      <w:bookmarkEnd w:id="127"/>
      <w:bookmarkEnd w:id="128"/>
      <w:bookmarkEnd w:id="129"/>
    </w:p>
    <w:p>
      <w:pPr>
        <w:pStyle w:val="yShoulderClause"/>
      </w:pPr>
      <w:r>
        <w:t>[r. 8(6), 10(2)]</w:t>
      </w:r>
    </w:p>
    <w:p>
      <w:pPr>
        <w:pStyle w:val="yHeading5"/>
        <w:spacing w:after="120"/>
      </w:pPr>
      <w:bookmarkStart w:id="130" w:name="_Toc96398511"/>
      <w:bookmarkStart w:id="131" w:name="_Toc100634727"/>
      <w:bookmarkStart w:id="132" w:name="_Toc138836666"/>
      <w:bookmarkStart w:id="133" w:name="_Toc202585854"/>
      <w:r>
        <w:rPr>
          <w:rStyle w:val="CharSClsNo"/>
        </w:rPr>
        <w:t>1</w:t>
      </w:r>
      <w:r>
        <w:t>.</w:t>
      </w:r>
      <w:r>
        <w:tab/>
        <w:t>Application to remit fees</w:t>
      </w:r>
      <w:bookmarkEnd w:id="130"/>
      <w:bookmarkEnd w:id="131"/>
      <w:bookmarkEnd w:id="132"/>
      <w:bookmarkEnd w:id="1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34" w:name="_Toc97609776"/>
      <w:bookmarkStart w:id="135" w:name="_Toc100634728"/>
      <w:bookmarkStart w:id="136" w:name="_Toc138836667"/>
      <w:bookmarkStart w:id="137" w:name="_Toc202585855"/>
      <w:r>
        <w:rPr>
          <w:rStyle w:val="CharSClsNo"/>
        </w:rPr>
        <w:t>2</w:t>
      </w:r>
      <w:r>
        <w:t>.</w:t>
      </w:r>
      <w:r>
        <w:tab/>
        <w:t>Application for determination of dispute about fees</w:t>
      </w:r>
      <w:bookmarkEnd w:id="134"/>
      <w:bookmarkEnd w:id="135"/>
      <w:bookmarkEnd w:id="136"/>
      <w:bookmarkEnd w:id="1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r>
        <w:tab/>
        <w:t>[Form 2 amended in Gazette 11 Mar 2008 p. 817.]</w:t>
      </w:r>
    </w:p>
    <w:p>
      <w:pPr>
        <w:pStyle w:val="nHeading2"/>
      </w:pPr>
      <w:bookmarkStart w:id="138" w:name="_Toc102453637"/>
      <w:bookmarkStart w:id="139" w:name="_Toc102453907"/>
      <w:bookmarkStart w:id="140" w:name="_Toc113162208"/>
      <w:bookmarkStart w:id="141" w:name="_Toc138836668"/>
      <w:bookmarkStart w:id="142" w:name="_Toc138836736"/>
      <w:bookmarkStart w:id="143" w:name="_Toc139270573"/>
      <w:bookmarkStart w:id="144" w:name="_Toc171051340"/>
      <w:bookmarkStart w:id="145" w:name="_Toc193167430"/>
      <w:bookmarkStart w:id="146" w:name="_Toc202585856"/>
      <w:r>
        <w:t>Notes</w:t>
      </w:r>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47" w:name="_Toc70311430"/>
      <w:bookmarkStart w:id="148" w:name="_Toc138836669"/>
      <w:bookmarkStart w:id="149" w:name="_Toc202585857"/>
      <w:r>
        <w:t>Compilation table</w:t>
      </w:r>
      <w:bookmarkEnd w:id="147"/>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Pr>
          <w:p>
            <w:pPr>
              <w:pStyle w:val="nTable"/>
              <w:rPr>
                <w:i/>
                <w:sz w:val="19"/>
              </w:rPr>
            </w:pPr>
            <w:r>
              <w:rPr>
                <w:i/>
                <w:sz w:val="19"/>
              </w:rPr>
              <w:t>Children’s Court (Fees) Amendment Regulations 2006</w:t>
            </w:r>
          </w:p>
        </w:tc>
        <w:tc>
          <w:tcPr>
            <w:tcW w:w="1276" w:type="dxa"/>
          </w:tcPr>
          <w:p>
            <w:pPr>
              <w:pStyle w:val="nTable"/>
              <w:rPr>
                <w:sz w:val="19"/>
              </w:rPr>
            </w:pPr>
            <w:r>
              <w:rPr>
                <w:sz w:val="19"/>
              </w:rPr>
              <w:t>23 Jun 2006 p. 2181</w:t>
            </w:r>
            <w:r>
              <w:rPr>
                <w:sz w:val="19"/>
              </w:rPr>
              <w:noBreakHyphen/>
              <w:t>3</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Children’s Court (Fees) Amendment Regulations 2007</w:t>
            </w:r>
          </w:p>
        </w:tc>
        <w:tc>
          <w:tcPr>
            <w:tcW w:w="1276" w:type="dxa"/>
          </w:tcPr>
          <w:p>
            <w:pPr>
              <w:pStyle w:val="nTable"/>
              <w:rPr>
                <w:sz w:val="19"/>
              </w:rPr>
            </w:pPr>
            <w:r>
              <w:rPr>
                <w:sz w:val="19"/>
              </w:rPr>
              <w:t>26 Jun 2007 p. 3040-1</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Pr>
          <w:p>
            <w:pPr>
              <w:pStyle w:val="nTable"/>
              <w:rPr>
                <w:i/>
                <w:sz w:val="19"/>
              </w:rPr>
            </w:pPr>
            <w:r>
              <w:rPr>
                <w:i/>
                <w:sz w:val="19"/>
              </w:rPr>
              <w:t>Children’s Court (Fees) Amendment Regulations 2008</w:t>
            </w:r>
          </w:p>
        </w:tc>
        <w:tc>
          <w:tcPr>
            <w:tcW w:w="1276" w:type="dxa"/>
          </w:tcPr>
          <w:p>
            <w:pPr>
              <w:pStyle w:val="nTable"/>
              <w:rPr>
                <w:sz w:val="19"/>
              </w:rPr>
            </w:pPr>
            <w:r>
              <w:rPr>
                <w:sz w:val="19"/>
              </w:rPr>
              <w:t>11 Mar 2008 p. 817</w:t>
            </w:r>
          </w:p>
        </w:tc>
        <w:tc>
          <w:tcPr>
            <w:tcW w:w="2693" w:type="dxa"/>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Borders>
              <w:bottom w:val="single" w:sz="4" w:space="0" w:color="auto"/>
            </w:tcBorders>
          </w:tcPr>
          <w:p>
            <w:pPr>
              <w:pStyle w:val="nTable"/>
              <w:rPr>
                <w:i/>
                <w:sz w:val="19"/>
              </w:rPr>
            </w:pPr>
            <w:r>
              <w:rPr>
                <w:i/>
                <w:sz w:val="19"/>
              </w:rPr>
              <w:t>Children’s Court (Fees) Amendment Regulations (No. 2) 2008</w:t>
            </w:r>
          </w:p>
        </w:tc>
        <w:tc>
          <w:tcPr>
            <w:tcW w:w="1276" w:type="dxa"/>
            <w:tcBorders>
              <w:bottom w:val="single" w:sz="4" w:space="0" w:color="auto"/>
            </w:tcBorders>
          </w:tcPr>
          <w:p>
            <w:pPr>
              <w:pStyle w:val="nTable"/>
              <w:rPr>
                <w:sz w:val="19"/>
              </w:rPr>
            </w:pPr>
            <w:r>
              <w:rPr>
                <w:sz w:val="19"/>
              </w:rPr>
              <w:t>27 Jun 2008 p. 3070-2</w:t>
            </w:r>
          </w:p>
        </w:tc>
        <w:tc>
          <w:tcPr>
            <w:tcW w:w="2693" w:type="dxa"/>
            <w:tcBorders>
              <w:bottom w:val="single" w:sz="4" w:space="0" w:color="auto"/>
            </w:tcBorders>
          </w:tcPr>
          <w:p>
            <w:pPr>
              <w:pStyle w:val="nTable"/>
              <w:rPr>
                <w:snapToGrid w:val="0"/>
                <w:sz w:val="19"/>
                <w:lang w:val="en-US"/>
              </w:rPr>
            </w:pPr>
            <w:r>
              <w:rPr>
                <w:snapToGrid w:val="0"/>
                <w:sz w:val="19"/>
                <w:lang w:val="en-US"/>
              </w:rPr>
              <w:t>r. 1 and 2: 27 Mar 2008 (see r. 2(a));</w:t>
            </w:r>
            <w:r>
              <w:rPr>
                <w:snapToGrid w:val="0"/>
                <w:sz w:val="19"/>
                <w:lang w:val="en-US"/>
              </w:rPr>
              <w:br/>
              <w:t>Regulations other than r. 1 and 2: 1 Jul 2008 (see r. 2(b))</w:t>
            </w:r>
          </w:p>
        </w:tc>
      </w:tr>
    </w:tbl>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3457</Words>
  <Characters>18393</Characters>
  <Application>Microsoft Office Word</Application>
  <DocSecurity>0</DocSecurity>
  <Lines>799</Lines>
  <Paragraphs>496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Fees</vt:lpstr>
      <vt:lpstr>        Division 1 — General</vt:lpstr>
      <vt:lpstr>        Division 2 — Civil jurisdiction</vt:lpstr>
      <vt:lpstr>        Division 3 — Criminal jurisdiction</vt:lpstr>
      <vt:lpstr>    </vt:lpstr>
      <vt:lpstr>    Schedule 2 — Forms</vt:lpstr>
      <vt:lpstr>    Notes</vt:lpstr>
    </vt:vector>
  </TitlesOfParts>
  <Manager/>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2005 - 00-f0-04</dc:title>
  <dc:subject/>
  <dc:creator/>
  <cp:keywords/>
  <dc:description/>
  <cp:lastModifiedBy>svcMRProcess</cp:lastModifiedBy>
  <cp:revision>4</cp:revision>
  <cp:lastPrinted>2005-04-07T02:11:00Z</cp:lastPrinted>
  <dcterms:created xsi:type="dcterms:W3CDTF">2018-09-10T05:52:00Z</dcterms:created>
  <dcterms:modified xsi:type="dcterms:W3CDTF">2018-09-10T05:52:00Z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34705</vt:i4>
  </property>
  <property fmtid="{D5CDD505-2E9C-101B-9397-08002B2CF9AE}" pid="6" name="AsAtDate">
    <vt:lpwstr>01 Jul 2008</vt:lpwstr>
  </property>
  <property fmtid="{D5CDD505-2E9C-101B-9397-08002B2CF9AE}" pid="7" name="Suffix">
    <vt:lpwstr>00-f0-04</vt:lpwstr>
  </property>
</Properties>
</file>