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Magistrates Court Act 2004</w:t>
      </w:r>
    </w:p>
    <w:p>
      <w:pPr>
        <w:pStyle w:val="NameofActRegPage1"/>
        <w:spacing w:before="1800" w:after="4200"/>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_Toc203535212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_Toc203535213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_Toc203535214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_Toc203535215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_Toc203535216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_Toc203535217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_Toc203535218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_Toc203535219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_Toc203535220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_Toc203535221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_Toc203535222 \h </w:instrText>
      </w:r>
      <w:r>
        <w:fldChar w:fldCharType="separate"/>
      </w:r>
      <w:r>
        <w:t>10</w:t>
      </w:r>
      <w:r>
        <w:fldChar w:fldCharType="end"/>
      </w:r>
    </w:p>
    <w:p>
      <w:pPr>
        <w:pStyle w:val="TOC8"/>
        <w:rPr>
          <w:sz w:val="24"/>
          <w:szCs w:val="24"/>
        </w:rPr>
      </w:pPr>
      <w:r>
        <w:rPr>
          <w:szCs w:val="24"/>
        </w:rPr>
        <w:t>12.</w:t>
      </w:r>
      <w:r>
        <w:rPr>
          <w:szCs w:val="24"/>
        </w:rPr>
        <w:tab/>
        <w:t>Searchable information</w:t>
      </w:r>
      <w:r>
        <w:tab/>
      </w:r>
      <w:r>
        <w:fldChar w:fldCharType="begin"/>
      </w:r>
      <w:r>
        <w:instrText xml:space="preserve"> PAGEREF _Toc203535223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_Toc203535224 \h </w:instrText>
      </w:r>
      <w:r>
        <w:fldChar w:fldCharType="separate"/>
      </w:r>
      <w:r>
        <w:t>11</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_Toc203535225 \h </w:instrText>
      </w:r>
      <w:r>
        <w:fldChar w:fldCharType="separate"/>
      </w:r>
      <w:r>
        <w:t>11</w:t>
      </w:r>
      <w:r>
        <w:fldChar w:fldCharType="end"/>
      </w:r>
    </w:p>
    <w:p>
      <w:pPr>
        <w:pStyle w:val="TOC8"/>
        <w:rPr>
          <w:sz w:val="24"/>
          <w:szCs w:val="24"/>
        </w:rPr>
      </w:pPr>
      <w:r>
        <w:rPr>
          <w:szCs w:val="24"/>
        </w:rPr>
        <w:t>15.</w:t>
      </w:r>
      <w:r>
        <w:rPr>
          <w:szCs w:val="24"/>
        </w:rPr>
        <w:tab/>
        <w:t>Transitional</w:t>
      </w:r>
      <w:r>
        <w:tab/>
      </w:r>
      <w:r>
        <w:fldChar w:fldCharType="begin"/>
      </w:r>
      <w:r>
        <w:instrText xml:space="preserve"> PAGEREF _Toc203535226 \h </w:instrText>
      </w:r>
      <w:r>
        <w:fldChar w:fldCharType="separate"/>
      </w:r>
      <w:r>
        <w:t>11</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_Toc203535232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_Toc203535233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_Toc203535234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_Toc203535236 \h </w:instrText>
      </w:r>
      <w:r>
        <w:fldChar w:fldCharType="separate"/>
      </w:r>
      <w:r>
        <w:t>27</w:t>
      </w:r>
      <w:r>
        <w:fldChar w:fldCharType="end"/>
      </w:r>
    </w:p>
    <w:p>
      <w:pPr>
        <w:pStyle w:val="TOC8"/>
        <w:rPr>
          <w:sz w:val="24"/>
        </w:rPr>
      </w:pPr>
      <w:r>
        <w:rPr>
          <w:snapToGrid w:val="0"/>
        </w:rPr>
        <w:tab/>
        <w:t>Provisions that have not come into operation</w:t>
      </w:r>
      <w:r>
        <w:tab/>
      </w:r>
      <w:r>
        <w:fldChar w:fldCharType="begin"/>
      </w:r>
      <w:r>
        <w:instrText xml:space="preserve"> PAGEREF _Toc203535237 \h </w:instrText>
      </w:r>
      <w:r>
        <w:fldChar w:fldCharType="separate"/>
      </w:r>
      <w:r>
        <w:t>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20353521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20353521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1318"/>
      <w:bookmarkStart w:id="21" w:name="_Toc102451447"/>
      <w:bookmarkStart w:id="22" w:name="_Toc203535214"/>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20353521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203535216"/>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203535217"/>
      <w:r>
        <w:rPr>
          <w:rStyle w:val="CharSectno"/>
        </w:rPr>
        <w:t>6</w:t>
      </w:r>
      <w:r>
        <w:t>.</w:t>
      </w:r>
      <w:r>
        <w:tab/>
        <w:t>Fees subject to conditions or waiver</w:t>
      </w:r>
      <w:bookmarkEnd w:id="45"/>
      <w:bookmarkEnd w:id="46"/>
      <w:bookmarkEnd w:id="4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203535218"/>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203535219"/>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203535220"/>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203535221"/>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203535222"/>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100631327"/>
      <w:bookmarkStart w:id="94" w:name="_Toc102451456"/>
      <w:bookmarkStart w:id="95" w:name="_Toc203535223"/>
      <w:r>
        <w:rPr>
          <w:rStyle w:val="CharSectno"/>
        </w:rPr>
        <w:t>12</w:t>
      </w:r>
      <w:r>
        <w:t>.</w:t>
      </w:r>
      <w:r>
        <w:tab/>
        <w:t>Searchable information</w:t>
      </w:r>
      <w:bookmarkEnd w:id="93"/>
      <w:bookmarkEnd w:id="94"/>
      <w:bookmarkEnd w:id="95"/>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96" w:name="_Toc96398500"/>
      <w:bookmarkStart w:id="97" w:name="_Toc100631328"/>
      <w:bookmarkStart w:id="98" w:name="_Toc102451457"/>
      <w:bookmarkStart w:id="99" w:name="_Toc203535224"/>
      <w:r>
        <w:rPr>
          <w:rStyle w:val="CharSectno"/>
        </w:rPr>
        <w:t>13</w:t>
      </w:r>
      <w:r>
        <w:t>.</w:t>
      </w:r>
      <w:r>
        <w:tab/>
        <w:t>Resolution of disputes as to fees</w:t>
      </w:r>
      <w:bookmarkEnd w:id="96"/>
      <w:bookmarkEnd w:id="97"/>
      <w:bookmarkEnd w:id="98"/>
      <w:bookmarkEnd w:id="9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0" w:name="_Toc100631329"/>
      <w:bookmarkStart w:id="101" w:name="_Toc102451458"/>
      <w:bookmarkStart w:id="102" w:name="_Toc203535225"/>
      <w:r>
        <w:rPr>
          <w:rStyle w:val="CharSectno"/>
        </w:rPr>
        <w:t>14</w:t>
      </w:r>
      <w:r>
        <w:t>.</w:t>
      </w:r>
      <w:r>
        <w:tab/>
        <w:t>Recovery of unpaid fees</w:t>
      </w:r>
      <w:bookmarkEnd w:id="100"/>
      <w:bookmarkEnd w:id="101"/>
      <w:bookmarkEnd w:id="102"/>
    </w:p>
    <w:p>
      <w:pPr>
        <w:pStyle w:val="Subsection"/>
      </w:pPr>
      <w:r>
        <w:tab/>
      </w:r>
      <w:r>
        <w:tab/>
        <w:t>Any unpaid fee is a debt due to the State and may be recovered by action in a court of competent jurisdiction.</w:t>
      </w:r>
    </w:p>
    <w:p>
      <w:pPr>
        <w:pStyle w:val="Heading5"/>
      </w:pPr>
      <w:bookmarkStart w:id="103" w:name="_Toc533482764"/>
      <w:bookmarkStart w:id="104" w:name="_Toc61252567"/>
      <w:bookmarkStart w:id="105" w:name="_Toc96402839"/>
      <w:bookmarkStart w:id="106" w:name="_Toc100631330"/>
      <w:bookmarkStart w:id="107" w:name="_Toc102451459"/>
      <w:bookmarkStart w:id="108" w:name="_Toc203535226"/>
      <w:r>
        <w:rPr>
          <w:rStyle w:val="CharSectno"/>
        </w:rPr>
        <w:t>15</w:t>
      </w:r>
      <w:r>
        <w:t>.</w:t>
      </w:r>
      <w:r>
        <w:tab/>
        <w:t>Transitional</w:t>
      </w:r>
      <w:bookmarkEnd w:id="103"/>
      <w:bookmarkEnd w:id="104"/>
      <w:bookmarkEnd w:id="105"/>
      <w:bookmarkEnd w:id="106"/>
      <w:bookmarkEnd w:id="107"/>
      <w:bookmarkEnd w:id="1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9" w:name="_Toc100631331"/>
      <w:bookmarkStart w:id="110" w:name="_Toc102451460"/>
    </w:p>
    <w:p>
      <w:pPr>
        <w:pStyle w:val="yScheduleHeading"/>
      </w:pPr>
      <w:bookmarkStart w:id="111" w:name="_Toc139104715"/>
      <w:bookmarkStart w:id="112" w:name="_Toc139276713"/>
      <w:bookmarkStart w:id="113" w:name="_Toc171051732"/>
      <w:bookmarkStart w:id="114" w:name="_Toc198631552"/>
      <w:bookmarkStart w:id="115" w:name="_Toc202521832"/>
      <w:bookmarkStart w:id="116" w:name="_Toc203535227"/>
      <w:r>
        <w:rPr>
          <w:rStyle w:val="CharSchNo"/>
        </w:rPr>
        <w:t>Schedule 1</w:t>
      </w:r>
      <w:r>
        <w:t xml:space="preserve"> — </w:t>
      </w:r>
      <w:r>
        <w:rPr>
          <w:rStyle w:val="CharSchText"/>
        </w:rPr>
        <w:t>Fees</w:t>
      </w:r>
      <w:bookmarkEnd w:id="109"/>
      <w:bookmarkEnd w:id="110"/>
      <w:bookmarkEnd w:id="111"/>
      <w:bookmarkEnd w:id="112"/>
      <w:bookmarkEnd w:id="113"/>
      <w:bookmarkEnd w:id="114"/>
      <w:bookmarkEnd w:id="115"/>
      <w:bookmarkEnd w:id="116"/>
    </w:p>
    <w:p>
      <w:pPr>
        <w:pStyle w:val="yShoulderClause"/>
        <w:spacing w:after="360"/>
      </w:pPr>
      <w:r>
        <w:t>[r. 4]</w:t>
      </w:r>
    </w:p>
    <w:p>
      <w:pPr>
        <w:pStyle w:val="yHeading3"/>
        <w:spacing w:before="120" w:after="120"/>
      </w:pPr>
      <w:bookmarkStart w:id="117" w:name="_Toc100631332"/>
      <w:bookmarkStart w:id="118" w:name="_Toc102451461"/>
      <w:bookmarkStart w:id="119" w:name="_Toc139104716"/>
      <w:bookmarkStart w:id="120" w:name="_Toc139276714"/>
      <w:bookmarkStart w:id="121" w:name="_Toc171051733"/>
      <w:bookmarkStart w:id="122" w:name="_Toc198631553"/>
      <w:bookmarkStart w:id="123" w:name="_Toc202521833"/>
      <w:bookmarkStart w:id="124" w:name="_Toc203535228"/>
      <w:r>
        <w:rPr>
          <w:rStyle w:val="CharSDivNo"/>
        </w:rPr>
        <w:t>Division 1</w:t>
      </w:r>
      <w:r>
        <w:rPr>
          <w:b w:val="0"/>
        </w:rPr>
        <w:t> — </w:t>
      </w:r>
      <w:r>
        <w:rPr>
          <w:rStyle w:val="CharSDivText"/>
        </w:rPr>
        <w:t>General</w:t>
      </w:r>
      <w:bookmarkEnd w:id="117"/>
      <w:bookmarkEnd w:id="118"/>
      <w:bookmarkEnd w:id="119"/>
      <w:bookmarkEnd w:id="120"/>
      <w:bookmarkEnd w:id="121"/>
      <w:bookmarkEnd w:id="122"/>
      <w:bookmarkEnd w:id="123"/>
      <w:bookmarkEnd w:id="124"/>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1.10</w:t>
            </w:r>
          </w:p>
          <w:p>
            <w:pPr>
              <w:pStyle w:val="yTable"/>
              <w:ind w:right="601"/>
              <w:jc w:val="right"/>
              <w:rPr>
                <w:sz w:val="20"/>
              </w:rPr>
            </w:pPr>
            <w:r>
              <w:rPr>
                <w:sz w:val="20"/>
              </w:rPr>
              <w:br/>
              <w:t>35 841.00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27 Jun 2008 p. 3068-9.]</w:t>
      </w:r>
    </w:p>
    <w:p>
      <w:pPr>
        <w:pStyle w:val="yHeading3"/>
        <w:spacing w:after="240"/>
      </w:pPr>
      <w:bookmarkStart w:id="125" w:name="_Toc100631333"/>
      <w:bookmarkStart w:id="126" w:name="_Toc102451462"/>
      <w:bookmarkStart w:id="127" w:name="_Toc139104717"/>
      <w:bookmarkStart w:id="128" w:name="_Toc139276715"/>
      <w:bookmarkStart w:id="129" w:name="_Toc171051734"/>
      <w:bookmarkStart w:id="130" w:name="_Toc198631554"/>
      <w:bookmarkStart w:id="131" w:name="_Toc202521834"/>
      <w:bookmarkStart w:id="132" w:name="_Toc203535229"/>
      <w:r>
        <w:rPr>
          <w:rStyle w:val="CharSDivNo"/>
        </w:rPr>
        <w:t>Division 2</w:t>
      </w:r>
      <w:r>
        <w:rPr>
          <w:b w:val="0"/>
        </w:rPr>
        <w:t> — </w:t>
      </w:r>
      <w:r>
        <w:rPr>
          <w:rStyle w:val="CharSDivText"/>
        </w:rPr>
        <w:t>Civil jurisdiction</w:t>
      </w:r>
      <w:bookmarkEnd w:id="125"/>
      <w:bookmarkEnd w:id="126"/>
      <w:bookmarkEnd w:id="127"/>
      <w:bookmarkEnd w:id="128"/>
      <w:bookmarkEnd w:id="129"/>
      <w:bookmarkEnd w:id="130"/>
      <w:bookmarkEnd w:id="131"/>
      <w:bookmarkEnd w:id="132"/>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33" w:name="_Toc100631334"/>
      <w:bookmarkStart w:id="134" w:name="_Toc102451463"/>
      <w:r>
        <w:tab/>
        <w:t>[Division 2 amended in Gazette 23 Jun 2006 p. 2179</w:t>
      </w:r>
      <w:r>
        <w:noBreakHyphen/>
        <w:t>81; 26 Jun 2007 p. 3034-5; 27 Jun 2008 p. 3069-70.]</w:t>
      </w:r>
    </w:p>
    <w:p>
      <w:pPr>
        <w:pStyle w:val="yHeading3"/>
        <w:spacing w:after="240"/>
      </w:pPr>
      <w:bookmarkStart w:id="135" w:name="_Toc139104718"/>
      <w:bookmarkStart w:id="136" w:name="_Toc139276716"/>
      <w:bookmarkStart w:id="137" w:name="_Toc171051735"/>
      <w:bookmarkStart w:id="138" w:name="_Toc198631555"/>
      <w:bookmarkStart w:id="139" w:name="_Toc202521835"/>
      <w:bookmarkStart w:id="140" w:name="_Toc203535230"/>
      <w:r>
        <w:rPr>
          <w:rStyle w:val="CharSDivNo"/>
        </w:rPr>
        <w:t>Division 3</w:t>
      </w:r>
      <w:r>
        <w:rPr>
          <w:b w:val="0"/>
        </w:rPr>
        <w:t> — </w:t>
      </w:r>
      <w:r>
        <w:rPr>
          <w:rStyle w:val="CharSDivText"/>
        </w:rPr>
        <w:t>Criminal jurisdiction</w:t>
      </w:r>
      <w:bookmarkEnd w:id="133"/>
      <w:bookmarkEnd w:id="134"/>
      <w:bookmarkEnd w:id="135"/>
      <w:bookmarkEnd w:id="136"/>
      <w:bookmarkEnd w:id="137"/>
      <w:bookmarkEnd w:id="138"/>
      <w:bookmarkEnd w:id="139"/>
      <w:bookmarkEnd w:id="140"/>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41" w:name="_Toc100631335"/>
      <w:r>
        <w:tab/>
        <w:t>[Division 3 amended in Gazette 23 Jun 2006 p. 2181; 26 Jun 2007 p. 3035; 27 Jun 2008 p. 3070.]</w:t>
      </w:r>
    </w:p>
    <w:p>
      <w:pPr>
        <w:pStyle w:val="yScheduleHeading"/>
      </w:pPr>
      <w:bookmarkStart w:id="142" w:name="_Toc102451464"/>
      <w:bookmarkStart w:id="143" w:name="_Toc139104719"/>
      <w:bookmarkStart w:id="144" w:name="_Toc139276717"/>
      <w:bookmarkStart w:id="145" w:name="_Toc171051736"/>
      <w:bookmarkStart w:id="146" w:name="_Toc198631556"/>
      <w:bookmarkStart w:id="147" w:name="_Toc202521836"/>
      <w:bookmarkStart w:id="148" w:name="_Toc203535231"/>
      <w:r>
        <w:rPr>
          <w:rStyle w:val="CharSchNo"/>
        </w:rPr>
        <w:t>Schedule 2</w:t>
      </w:r>
      <w:r>
        <w:rPr>
          <w:rStyle w:val="CharSDivNo"/>
        </w:rPr>
        <w:t> </w:t>
      </w:r>
      <w:r>
        <w:t>—</w:t>
      </w:r>
      <w:r>
        <w:rPr>
          <w:rStyle w:val="CharSDivText"/>
        </w:rPr>
        <w:t> </w:t>
      </w:r>
      <w:r>
        <w:rPr>
          <w:rStyle w:val="CharSchText"/>
        </w:rPr>
        <w:t>Forms</w:t>
      </w:r>
      <w:bookmarkEnd w:id="141"/>
      <w:bookmarkEnd w:id="142"/>
      <w:bookmarkEnd w:id="143"/>
      <w:bookmarkEnd w:id="144"/>
      <w:bookmarkEnd w:id="145"/>
      <w:bookmarkEnd w:id="146"/>
      <w:bookmarkEnd w:id="147"/>
      <w:bookmarkEnd w:id="148"/>
    </w:p>
    <w:p>
      <w:pPr>
        <w:pStyle w:val="yShoulderClause"/>
      </w:pPr>
      <w:r>
        <w:t>[r. 4(6), 8(6), 13(2)]</w:t>
      </w:r>
    </w:p>
    <w:p>
      <w:pPr>
        <w:pStyle w:val="yHeading5"/>
      </w:pPr>
      <w:bookmarkStart w:id="149" w:name="_Toc96398510"/>
      <w:bookmarkStart w:id="150" w:name="_Toc96417044"/>
      <w:bookmarkStart w:id="151" w:name="_Toc100631336"/>
      <w:bookmarkStart w:id="152" w:name="_Toc102451465"/>
      <w:bookmarkStart w:id="153" w:name="_Toc203535232"/>
      <w:r>
        <w:rPr>
          <w:rStyle w:val="CharSClsNo"/>
        </w:rPr>
        <w:t>1</w:t>
      </w:r>
      <w:r>
        <w:t>.</w:t>
      </w:r>
      <w:r>
        <w:tab/>
        <w:t>Declaration that a person is a small business or a non</w:t>
      </w:r>
      <w:r>
        <w:noBreakHyphen/>
        <w:t>profit association</w:t>
      </w:r>
      <w:bookmarkEnd w:id="149"/>
      <w:bookmarkEnd w:id="150"/>
      <w:bookmarkEnd w:id="151"/>
      <w:bookmarkEnd w:id="152"/>
      <w:bookmarkEnd w:id="15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54" w:name="_Toc96398511"/>
      <w:bookmarkStart w:id="155" w:name="_Toc96417045"/>
      <w:bookmarkStart w:id="156" w:name="_Toc100631337"/>
      <w:bookmarkStart w:id="157" w:name="_Toc102451466"/>
      <w:bookmarkStart w:id="158" w:name="_Toc203535233"/>
      <w:r>
        <w:rPr>
          <w:rStyle w:val="CharSClsNo"/>
        </w:rPr>
        <w:t>2</w:t>
      </w:r>
      <w:r>
        <w:t>.</w:t>
      </w:r>
      <w:r>
        <w:tab/>
        <w:t>Application to remit fees</w:t>
      </w:r>
      <w:bookmarkEnd w:id="154"/>
      <w:bookmarkEnd w:id="155"/>
      <w:bookmarkEnd w:id="156"/>
      <w:bookmarkEnd w:id="157"/>
      <w:bookmarkEnd w:id="1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59" w:name="_Toc100631338"/>
      <w:bookmarkStart w:id="160" w:name="_Toc102451467"/>
      <w:bookmarkStart w:id="161" w:name="_Toc203535234"/>
      <w:r>
        <w:rPr>
          <w:rStyle w:val="CharSClsNo"/>
        </w:rPr>
        <w:t>3</w:t>
      </w:r>
      <w:r>
        <w:t>.</w:t>
      </w:r>
      <w:r>
        <w:tab/>
        <w:t>Application for determination of dispute about fees</w:t>
      </w:r>
      <w:bookmarkEnd w:id="159"/>
      <w:bookmarkEnd w:id="160"/>
      <w:bookmarkEnd w:id="16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62" w:name="_Toc102451468"/>
      <w:bookmarkStart w:id="163" w:name="_Toc139104723"/>
      <w:bookmarkStart w:id="164" w:name="_Toc139276721"/>
      <w:bookmarkStart w:id="165" w:name="_Toc171051740"/>
      <w:bookmarkStart w:id="166" w:name="_Toc198631560"/>
      <w:bookmarkStart w:id="167" w:name="_Toc202521840"/>
      <w:bookmarkStart w:id="168" w:name="_Toc203535235"/>
      <w:r>
        <w:t>Notes</w:t>
      </w:r>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69" w:name="_Toc70311430"/>
      <w:bookmarkStart w:id="170" w:name="_Toc102451469"/>
      <w:bookmarkStart w:id="171" w:name="_Toc203535236"/>
      <w:r>
        <w:t>Compilation table</w:t>
      </w:r>
      <w:bookmarkEnd w:id="169"/>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Magistrates Court (Fees) Amendment Regulations (No. 2) 2008</w:t>
            </w:r>
          </w:p>
        </w:tc>
        <w:tc>
          <w:tcPr>
            <w:tcW w:w="1276" w:type="dxa"/>
            <w:tcBorders>
              <w:bottom w:val="single" w:sz="4" w:space="0" w:color="auto"/>
            </w:tcBorders>
          </w:tcPr>
          <w:p>
            <w:pPr>
              <w:pStyle w:val="nTable"/>
              <w:rPr>
                <w:sz w:val="19"/>
              </w:rPr>
            </w:pPr>
            <w:r>
              <w:rPr>
                <w:sz w:val="19"/>
              </w:rPr>
              <w:t>27 Jun 2008 p. 3068-70</w:t>
            </w:r>
          </w:p>
        </w:tc>
        <w:tc>
          <w:tcPr>
            <w:tcW w:w="2693" w:type="dxa"/>
            <w:tcBorders>
              <w:bottom w:val="single" w:sz="4" w:space="0" w:color="auto"/>
            </w:tcBorders>
          </w:tcPr>
          <w:p>
            <w:pPr>
              <w:pStyle w:val="nTable"/>
              <w:rPr>
                <w:sz w:val="19"/>
              </w:rPr>
            </w:pPr>
            <w:r>
              <w:rPr>
                <w:snapToGrid w:val="0"/>
                <w:sz w:val="19"/>
                <w:lang w:val="en-US"/>
              </w:rPr>
              <w:t>r. 1 and 2: 27 Jun 2008 (see r. 2(a))</w:t>
            </w:r>
            <w:r>
              <w:rPr>
                <w:snapToGrid w:val="0"/>
                <w:sz w:val="19"/>
                <w:lang w:val="en-US"/>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2" w:name="UpToHere"/>
      <w:bookmarkStart w:id="173" w:name="_Toc534778309"/>
      <w:bookmarkStart w:id="174" w:name="_Toc7405063"/>
      <w:bookmarkStart w:id="175" w:name="_Toc203535237"/>
      <w:bookmarkEnd w:id="172"/>
      <w:r>
        <w:rPr>
          <w:snapToGrid w:val="0"/>
        </w:rPr>
        <w:t>Provisions that have not come into operation</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Magistrates Court (Fees) Amendment Regulations 2008</w:t>
            </w:r>
            <w:r>
              <w:rPr>
                <w:iCs/>
                <w:sz w:val="19"/>
              </w:rPr>
              <w:t xml:space="preserve"> r. 3-5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1910-11</w:t>
            </w:r>
          </w:p>
        </w:tc>
        <w:tc>
          <w:tcPr>
            <w:tcW w:w="2693" w:type="dxa"/>
            <w:tcBorders>
              <w:top w:val="single" w:sz="4" w:space="0" w:color="auto"/>
              <w:bottom w:val="single" w:sz="4" w:space="0" w:color="auto"/>
            </w:tcBorders>
          </w:tcPr>
          <w:p>
            <w:pPr>
              <w:pStyle w:val="nTable"/>
              <w:rPr>
                <w:sz w:val="19"/>
              </w:rPr>
            </w:pPr>
            <w:r>
              <w:rPr>
                <w:snapToGrid w:val="0"/>
                <w:sz w:val="19"/>
                <w:lang w:val="en-US"/>
              </w:rPr>
              <w:t>30 Sep 2008</w:t>
            </w:r>
            <w:r>
              <w:rPr>
                <w:sz w:val="19"/>
              </w:rPr>
              <w:t xml:space="preserve"> (see r. 2(b) and </w:t>
            </w:r>
            <w:r>
              <w:rPr>
                <w:i/>
                <w:iCs/>
                <w:sz w:val="19"/>
              </w:rPr>
              <w:t>Gazette</w:t>
            </w:r>
            <w:r>
              <w:rPr>
                <w:sz w:val="19"/>
              </w:rPr>
              <w:t xml:space="preserve"> 11 Jul 2008 p. 3253)</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Magistrates Court (Fees) Regulations 2005</w:t>
      </w:r>
      <w:r>
        <w:t>.</w:t>
      </w:r>
    </w:p>
    <w:p>
      <w:pPr>
        <w:pStyle w:val="nzHeading5"/>
      </w:pPr>
      <w:r>
        <w:rPr>
          <w:rStyle w:val="CharSectno"/>
        </w:rPr>
        <w:t>4</w:t>
      </w:r>
      <w:r>
        <w:t>.</w:t>
      </w:r>
      <w:r>
        <w:tab/>
        <w:t>Regulation 12 replaced</w:t>
      </w:r>
    </w:p>
    <w:p>
      <w:pPr>
        <w:pStyle w:val="nzSubsection"/>
      </w:pPr>
      <w:r>
        <w:tab/>
      </w:r>
      <w:r>
        <w:tab/>
        <w:t>Regulation 12 is repealed and the following regulation is inserted instead —</w:t>
      </w:r>
    </w:p>
    <w:p>
      <w:pPr>
        <w:pStyle w:val="MiscOpen"/>
      </w:pPr>
      <w:r>
        <w:t xml:space="preserve">“    </w:t>
      </w:r>
    </w:p>
    <w:p>
      <w:pPr>
        <w:pStyle w:val="nzHeading5"/>
      </w:pPr>
      <w:r>
        <w:t>12.</w:t>
      </w:r>
      <w:r>
        <w:tab/>
        <w:t>Fees for searchable information</w:t>
      </w:r>
    </w:p>
    <w:p>
      <w:pPr>
        <w:pStyle w:val="nzSubsection"/>
      </w:pPr>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p>
    <w:p>
      <w:pPr>
        <w:pStyle w:val="nzIndenta"/>
      </w:pPr>
      <w:r>
        <w:tab/>
        <w:t>(a)</w:t>
      </w:r>
      <w:r>
        <w:tab/>
        <w:t>if the information is not provided by email — Schedule 1 Division 1 item 5(a);</w:t>
      </w:r>
    </w:p>
    <w:p>
      <w:pPr>
        <w:pStyle w:val="nzIndenta"/>
      </w:pPr>
      <w:r>
        <w:tab/>
        <w:t>(b)</w:t>
      </w:r>
      <w:r>
        <w:tab/>
        <w:t>if the information is provided by email — Schedule 1 Division 1 item 5(b).</w:t>
      </w:r>
    </w:p>
    <w:p>
      <w:pPr>
        <w:pStyle w:val="MiscClose"/>
      </w:pPr>
      <w:r>
        <w:t xml:space="preserve">    ”.</w:t>
      </w:r>
    </w:p>
    <w:p>
      <w:pPr>
        <w:pStyle w:val="nzHeading5"/>
      </w:pPr>
      <w:r>
        <w:rPr>
          <w:rStyle w:val="CharSectno"/>
        </w:rPr>
        <w:t>5</w:t>
      </w:r>
      <w:r>
        <w:t>.</w:t>
      </w:r>
      <w:r>
        <w:tab/>
        <w:t>Schedule 1 amended</w:t>
      </w:r>
    </w:p>
    <w:p>
      <w:pPr>
        <w:pStyle w:val="nzSubsection"/>
      </w:pPr>
      <w:r>
        <w:tab/>
        <w:t>(1)</w:t>
      </w:r>
      <w:r>
        <w:tab/>
        <w:t>Schedule 1 Division 1 item 4 is amended by deleting the note and inserting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5724"/>
      </w:tblGrid>
      <w:tr>
        <w:trPr>
          <w:cantSplit/>
        </w:trPr>
        <w:tc>
          <w:tcPr>
            <w:tcW w:w="5724" w:type="dxa"/>
          </w:tcPr>
          <w:p>
            <w:pPr>
              <w:pStyle w:val="nzTable"/>
            </w:pPr>
            <w:r>
              <w:t>NOTE</w:t>
            </w:r>
          </w:p>
          <w:p>
            <w:pPr>
              <w:pStyle w:val="nzTable"/>
            </w:pPr>
            <w:r>
              <w:t xml:space="preserve">Item 4(a) does not apply in relation to information provided under the </w:t>
            </w:r>
            <w:r>
              <w:rPr>
                <w:i/>
                <w:iCs/>
              </w:rPr>
              <w:t>Magistrates Court (General) Rules 2005</w:t>
            </w:r>
            <w:r>
              <w:t xml:space="preserve"> rule 41A.</w:t>
            </w:r>
          </w:p>
        </w:tc>
      </w:tr>
    </w:tbl>
    <w:p>
      <w:pPr>
        <w:pStyle w:val="MiscClose"/>
      </w:pPr>
      <w:r>
        <w:t xml:space="preserve">    ”.</w:t>
      </w:r>
    </w:p>
    <w:p>
      <w:pPr>
        <w:pStyle w:val="nzSubsection"/>
      </w:pPr>
      <w:r>
        <w:tab/>
        <w:t>(2)</w:t>
      </w:r>
      <w:r>
        <w:tab/>
        <w:t>Schedule 1 Division 1 item 5 is deleted and the following item is inserted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600"/>
        <w:gridCol w:w="3960"/>
        <w:gridCol w:w="1164"/>
      </w:tblGrid>
      <w:tr>
        <w:trPr>
          <w:cantSplit/>
        </w:trPr>
        <w:tc>
          <w:tcPr>
            <w:tcW w:w="600" w:type="dxa"/>
          </w:tcPr>
          <w:p>
            <w:pPr>
              <w:pStyle w:val="nzTable"/>
            </w:pPr>
            <w:r>
              <w:t>5.</w:t>
            </w:r>
          </w:p>
        </w:tc>
        <w:tc>
          <w:tcPr>
            <w:tcW w:w="3960" w:type="dxa"/>
          </w:tcPr>
          <w:p>
            <w:pPr>
              <w:pStyle w:val="nzTable"/>
            </w:pPr>
            <w:r>
              <w:t xml:space="preserve">For provision of information under the </w:t>
            </w:r>
            <w:r>
              <w:rPr>
                <w:i/>
                <w:iCs/>
              </w:rPr>
              <w:t>Magistrates Court (General) Rules 2005</w:t>
            </w:r>
            <w:r>
              <w:t xml:space="preserve"> rule 41A — </w:t>
            </w:r>
          </w:p>
          <w:p>
            <w:pPr>
              <w:pStyle w:val="nzTable"/>
              <w:tabs>
                <w:tab w:val="left" w:pos="252"/>
                <w:tab w:val="left" w:pos="852"/>
              </w:tabs>
              <w:ind w:left="852" w:hanging="852"/>
            </w:pPr>
            <w:r>
              <w:tab/>
              <w:t>(a)</w:t>
            </w:r>
            <w:r>
              <w:tab/>
              <w:t>fee per case specified in the information ……………................</w:t>
            </w:r>
          </w:p>
          <w:p>
            <w:pPr>
              <w:pStyle w:val="nzTable"/>
              <w:tabs>
                <w:tab w:val="left" w:pos="252"/>
                <w:tab w:val="left" w:pos="852"/>
              </w:tabs>
              <w:ind w:left="852" w:hanging="852"/>
            </w:pPr>
            <w:r>
              <w:tab/>
              <w:t>(b)</w:t>
            </w:r>
            <w:r>
              <w:tab/>
              <w:t>annual fee for information provided by email to approved recipient …...</w:t>
            </w:r>
          </w:p>
        </w:tc>
        <w:tc>
          <w:tcPr>
            <w:tcW w:w="1164" w:type="dxa"/>
          </w:tcPr>
          <w:p>
            <w:pPr>
              <w:pStyle w:val="nzTable"/>
            </w:pPr>
            <w:r>
              <w:br/>
            </w:r>
          </w:p>
          <w:p>
            <w:pPr>
              <w:pStyle w:val="nzTable"/>
              <w:jc w:val="right"/>
            </w:pPr>
            <w:r>
              <w:br/>
            </w:r>
            <w:r>
              <w:br/>
              <w:t>1.05</w:t>
            </w:r>
          </w:p>
          <w:p>
            <w:pPr>
              <w:pStyle w:val="nzTable"/>
              <w:jc w:val="right"/>
            </w:pPr>
            <w:r>
              <w:br/>
              <w:t>34 662.00</w:t>
            </w:r>
          </w:p>
        </w:tc>
      </w:tr>
    </w:tbl>
    <w:p>
      <w:pPr>
        <w:pStyle w:val="MiscClose"/>
      </w:pPr>
      <w:r>
        <w:t xml:space="preserve">    ”.</w:t>
      </w:r>
    </w:p>
    <w:p>
      <w:pPr>
        <w:pStyle w:val="MiscClose"/>
      </w:pPr>
      <w:r>
        <w:t>”.</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6729</Words>
  <Characters>34655</Characters>
  <Application>Microsoft Office Word</Application>
  <DocSecurity>0</DocSecurity>
  <Lines>1650</Lines>
  <Paragraphs>844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40540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2005 - 00-f0-01</dc:title>
  <dc:subject/>
  <dc:creator/>
  <cp:keywords/>
  <dc:description/>
  <cp:lastModifiedBy>svcMRProcess</cp:lastModifiedBy>
  <cp:revision>4</cp:revision>
  <cp:lastPrinted>2005-04-06T23:51:00Z</cp:lastPrinted>
  <dcterms:created xsi:type="dcterms:W3CDTF">2018-09-12T16:12:00Z</dcterms:created>
  <dcterms:modified xsi:type="dcterms:W3CDTF">2018-09-12T16:12:00Z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37120</vt:i4>
  </property>
  <property fmtid="{D5CDD505-2E9C-101B-9397-08002B2CF9AE}" pid="6" name="AsAtDate">
    <vt:lpwstr>11 Jul 2008</vt:lpwstr>
  </property>
  <property fmtid="{D5CDD505-2E9C-101B-9397-08002B2CF9AE}" pid="7" name="Suffix">
    <vt:lpwstr>00-f0-01</vt:lpwstr>
  </property>
</Properties>
</file>