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Firearms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Firearms Act 1973</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_Toc108854192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_Toc108854193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_Toc108854194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Administration</w:t>
      </w:r>
      <w:r>
        <w:rPr>
          <w:noProof/>
        </w:rPr>
        <w:tab/>
      </w:r>
      <w:r>
        <w:rPr>
          <w:noProof/>
        </w:rPr>
        <w:fldChar w:fldCharType="begin"/>
      </w:r>
      <w:r>
        <w:rPr>
          <w:noProof/>
        </w:rPr>
        <w:instrText xml:space="preserve"> PAGEREF _Toc108854195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5A</w:t>
      </w:r>
      <w:r>
        <w:rPr>
          <w:noProof/>
          <w:snapToGrid w:val="0"/>
          <w:szCs w:val="24"/>
        </w:rPr>
        <w:t>.</w:t>
      </w:r>
      <w:r>
        <w:rPr>
          <w:noProof/>
          <w:sz w:val="24"/>
          <w:szCs w:val="24"/>
        </w:rPr>
        <w:tab/>
      </w:r>
      <w:r>
        <w:rPr>
          <w:noProof/>
          <w:snapToGrid w:val="0"/>
          <w:szCs w:val="24"/>
        </w:rPr>
        <w:t>Delegation of Commissioner’s power to give licences, permits and approvals</w:t>
      </w:r>
      <w:r>
        <w:rPr>
          <w:noProof/>
        </w:rPr>
        <w:tab/>
      </w:r>
      <w:r>
        <w:rPr>
          <w:noProof/>
        </w:rPr>
        <w:fldChar w:fldCharType="begin"/>
      </w:r>
      <w:r>
        <w:rPr>
          <w:noProof/>
        </w:rPr>
        <w:instrText xml:space="preserve"> PAGEREF _Toc108854196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Prohibition</w:t>
      </w:r>
      <w:r>
        <w:rPr>
          <w:noProof/>
        </w:rPr>
        <w:tab/>
      </w:r>
      <w:r>
        <w:rPr>
          <w:noProof/>
        </w:rPr>
        <w:fldChar w:fldCharType="begin"/>
      </w:r>
      <w:r>
        <w:rPr>
          <w:noProof/>
        </w:rPr>
        <w:instrText xml:space="preserve"> PAGEREF _Toc108854197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Governor may order delivery of firearms by dealers and manufacturers in cases of emergency</w:t>
      </w:r>
      <w:r>
        <w:rPr>
          <w:noProof/>
        </w:rPr>
        <w:tab/>
      </w:r>
      <w:r>
        <w:rPr>
          <w:noProof/>
        </w:rPr>
        <w:fldChar w:fldCharType="begin"/>
      </w:r>
      <w:r>
        <w:rPr>
          <w:noProof/>
        </w:rPr>
        <w:instrText xml:space="preserve"> PAGEREF _Toc108854198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Exemptions from licensing requirements</w:t>
      </w:r>
      <w:r>
        <w:rPr>
          <w:noProof/>
        </w:rPr>
        <w:tab/>
      </w:r>
      <w:r>
        <w:rPr>
          <w:noProof/>
        </w:rPr>
        <w:fldChar w:fldCharType="begin"/>
      </w:r>
      <w:r>
        <w:rPr>
          <w:noProof/>
        </w:rPr>
        <w:instrText xml:space="preserve"> PAGEREF _Toc108854199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Licences etc. not transferable</w:t>
      </w:r>
      <w:r>
        <w:rPr>
          <w:noProof/>
        </w:rPr>
        <w:tab/>
      </w:r>
      <w:r>
        <w:rPr>
          <w:noProof/>
        </w:rPr>
        <w:fldChar w:fldCharType="begin"/>
      </w:r>
      <w:r>
        <w:rPr>
          <w:noProof/>
        </w:rPr>
        <w:instrText xml:space="preserve"> PAGEREF _Toc108854200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9A</w:t>
      </w:r>
      <w:r>
        <w:rPr>
          <w:noProof/>
          <w:snapToGrid w:val="0"/>
          <w:szCs w:val="24"/>
        </w:rPr>
        <w:t>.</w:t>
      </w:r>
      <w:r>
        <w:rPr>
          <w:noProof/>
          <w:sz w:val="24"/>
          <w:szCs w:val="24"/>
        </w:rPr>
        <w:tab/>
      </w:r>
      <w:r>
        <w:rPr>
          <w:noProof/>
          <w:snapToGrid w:val="0"/>
          <w:szCs w:val="24"/>
        </w:rPr>
        <w:t>Duration and renewal of licences</w:t>
      </w:r>
      <w:r>
        <w:rPr>
          <w:noProof/>
        </w:rPr>
        <w:tab/>
      </w:r>
      <w:r>
        <w:rPr>
          <w:noProof/>
        </w:rPr>
        <w:fldChar w:fldCharType="begin"/>
      </w:r>
      <w:r>
        <w:rPr>
          <w:noProof/>
        </w:rPr>
        <w:instrText xml:space="preserve"> PAGEREF _Toc108854201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Minimum age of licensee or permit holder</w:t>
      </w:r>
      <w:r>
        <w:rPr>
          <w:noProof/>
        </w:rPr>
        <w:tab/>
      </w:r>
      <w:r>
        <w:rPr>
          <w:noProof/>
        </w:rPr>
        <w:fldChar w:fldCharType="begin"/>
      </w:r>
      <w:r>
        <w:rPr>
          <w:noProof/>
        </w:rPr>
        <w:instrText xml:space="preserve"> PAGEREF _Toc108854202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10A</w:t>
      </w:r>
      <w:r>
        <w:rPr>
          <w:noProof/>
          <w:snapToGrid w:val="0"/>
          <w:szCs w:val="24"/>
        </w:rPr>
        <w:t>.</w:t>
      </w:r>
      <w:r>
        <w:rPr>
          <w:noProof/>
          <w:sz w:val="24"/>
          <w:szCs w:val="24"/>
        </w:rPr>
        <w:tab/>
      </w:r>
      <w:r>
        <w:rPr>
          <w:noProof/>
          <w:snapToGrid w:val="0"/>
          <w:szCs w:val="24"/>
        </w:rPr>
        <w:t>Training courses</w:t>
      </w:r>
      <w:r>
        <w:rPr>
          <w:noProof/>
        </w:rPr>
        <w:tab/>
      </w:r>
      <w:r>
        <w:rPr>
          <w:noProof/>
        </w:rPr>
        <w:fldChar w:fldCharType="begin"/>
      </w:r>
      <w:r>
        <w:rPr>
          <w:noProof/>
        </w:rPr>
        <w:instrText xml:space="preserve"> PAGEREF _Toc108854203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Exercise of Commissioner’s discretion</w:t>
      </w:r>
      <w:r>
        <w:rPr>
          <w:noProof/>
        </w:rPr>
        <w:tab/>
      </w:r>
      <w:r>
        <w:rPr>
          <w:noProof/>
        </w:rPr>
        <w:fldChar w:fldCharType="begin"/>
      </w:r>
      <w:r>
        <w:rPr>
          <w:noProof/>
        </w:rPr>
        <w:instrText xml:space="preserve"> PAGEREF _Toc108854204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11A</w:t>
      </w:r>
      <w:r>
        <w:rPr>
          <w:noProof/>
          <w:snapToGrid w:val="0"/>
          <w:szCs w:val="24"/>
        </w:rPr>
        <w:t>.</w:t>
      </w:r>
      <w:r>
        <w:rPr>
          <w:noProof/>
          <w:sz w:val="24"/>
          <w:szCs w:val="24"/>
        </w:rPr>
        <w:tab/>
      </w:r>
      <w:r>
        <w:rPr>
          <w:noProof/>
          <w:snapToGrid w:val="0"/>
          <w:szCs w:val="24"/>
        </w:rPr>
        <w:t>Genuine reason required in all cases</w:t>
      </w:r>
      <w:r>
        <w:rPr>
          <w:noProof/>
        </w:rPr>
        <w:tab/>
      </w:r>
      <w:r>
        <w:rPr>
          <w:noProof/>
        </w:rPr>
        <w:fldChar w:fldCharType="begin"/>
      </w:r>
      <w:r>
        <w:rPr>
          <w:noProof/>
        </w:rPr>
        <w:instrText xml:space="preserve"> PAGEREF _Toc108854205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11B</w:t>
      </w:r>
      <w:r>
        <w:rPr>
          <w:noProof/>
          <w:snapToGrid w:val="0"/>
          <w:szCs w:val="24"/>
        </w:rPr>
        <w:t>.</w:t>
      </w:r>
      <w:r>
        <w:rPr>
          <w:noProof/>
          <w:sz w:val="24"/>
          <w:szCs w:val="24"/>
        </w:rPr>
        <w:tab/>
      </w:r>
      <w:r>
        <w:rPr>
          <w:noProof/>
          <w:snapToGrid w:val="0"/>
          <w:szCs w:val="24"/>
        </w:rPr>
        <w:t>Genuine need required in some cases</w:t>
      </w:r>
      <w:r>
        <w:rPr>
          <w:noProof/>
        </w:rPr>
        <w:tab/>
      </w:r>
      <w:r>
        <w:rPr>
          <w:noProof/>
        </w:rPr>
        <w:fldChar w:fldCharType="begin"/>
      </w:r>
      <w:r>
        <w:rPr>
          <w:noProof/>
        </w:rPr>
        <w:instrText xml:space="preserve"> PAGEREF _Toc108854206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11C</w:t>
      </w:r>
      <w:r>
        <w:rPr>
          <w:noProof/>
          <w:snapToGrid w:val="0"/>
          <w:szCs w:val="24"/>
        </w:rPr>
        <w:t>.</w:t>
      </w:r>
      <w:r>
        <w:rPr>
          <w:noProof/>
          <w:sz w:val="24"/>
          <w:szCs w:val="24"/>
        </w:rPr>
        <w:tab/>
      </w:r>
      <w:r>
        <w:rPr>
          <w:noProof/>
          <w:snapToGrid w:val="0"/>
          <w:szCs w:val="24"/>
        </w:rPr>
        <w:t>Other restrictions</w:t>
      </w:r>
      <w:r>
        <w:rPr>
          <w:noProof/>
        </w:rPr>
        <w:tab/>
      </w:r>
      <w:r>
        <w:rPr>
          <w:noProof/>
        </w:rPr>
        <w:fldChar w:fldCharType="begin"/>
      </w:r>
      <w:r>
        <w:rPr>
          <w:noProof/>
        </w:rPr>
        <w:instrText xml:space="preserve"> PAGEREF _Toc108854207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Unsafe or unserviceable firearms</w:t>
      </w:r>
      <w:r>
        <w:rPr>
          <w:noProof/>
        </w:rPr>
        <w:tab/>
      </w:r>
      <w:r>
        <w:rPr>
          <w:noProof/>
        </w:rPr>
        <w:fldChar w:fldCharType="begin"/>
      </w:r>
      <w:r>
        <w:rPr>
          <w:noProof/>
        </w:rPr>
        <w:instrText xml:space="preserve"> PAGEREF _Toc108854208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Firearm collections</w:t>
      </w:r>
      <w:r>
        <w:rPr>
          <w:noProof/>
        </w:rPr>
        <w:tab/>
      </w:r>
      <w:r>
        <w:rPr>
          <w:noProof/>
        </w:rPr>
        <w:fldChar w:fldCharType="begin"/>
      </w:r>
      <w:r>
        <w:rPr>
          <w:noProof/>
        </w:rPr>
        <w:instrText xml:space="preserve"> PAGEREF _Toc108854209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15A.</w:t>
      </w:r>
      <w:r>
        <w:rPr>
          <w:noProof/>
          <w:sz w:val="24"/>
          <w:szCs w:val="24"/>
        </w:rPr>
        <w:tab/>
      </w:r>
      <w:r>
        <w:rPr>
          <w:noProof/>
          <w:szCs w:val="24"/>
        </w:rPr>
        <w:t>Accredited societies of collectors</w:t>
      </w:r>
      <w:r>
        <w:rPr>
          <w:noProof/>
        </w:rPr>
        <w:tab/>
      </w:r>
      <w:r>
        <w:rPr>
          <w:noProof/>
        </w:rPr>
        <w:fldChar w:fldCharType="begin"/>
      </w:r>
      <w:r>
        <w:rPr>
          <w:noProof/>
        </w:rPr>
        <w:instrText xml:space="preserve"> PAGEREF _Toc108854210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15B.</w:t>
      </w:r>
      <w:r>
        <w:rPr>
          <w:noProof/>
          <w:sz w:val="24"/>
          <w:szCs w:val="24"/>
        </w:rPr>
        <w:tab/>
      </w:r>
      <w:r>
        <w:rPr>
          <w:noProof/>
          <w:szCs w:val="24"/>
        </w:rPr>
        <w:t>Information from accredited society of collectors</w:t>
      </w:r>
      <w:r>
        <w:rPr>
          <w:noProof/>
        </w:rPr>
        <w:tab/>
      </w:r>
      <w:r>
        <w:rPr>
          <w:noProof/>
        </w:rPr>
        <w:fldChar w:fldCharType="begin"/>
      </w:r>
      <w:r>
        <w:rPr>
          <w:noProof/>
        </w:rPr>
        <w:instrText xml:space="preserve"> PAGEREF _Toc108854211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Licences</w:t>
      </w:r>
      <w:r>
        <w:rPr>
          <w:noProof/>
        </w:rPr>
        <w:tab/>
      </w:r>
      <w:r>
        <w:rPr>
          <w:noProof/>
        </w:rPr>
        <w:fldChar w:fldCharType="begin"/>
      </w:r>
      <w:r>
        <w:rPr>
          <w:noProof/>
        </w:rPr>
        <w:instrText xml:space="preserve"> PAGEREF _Toc108854212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16A</w:t>
      </w:r>
      <w:r>
        <w:rPr>
          <w:noProof/>
          <w:snapToGrid w:val="0"/>
          <w:szCs w:val="24"/>
        </w:rPr>
        <w:t>.</w:t>
      </w:r>
      <w:r>
        <w:rPr>
          <w:noProof/>
          <w:sz w:val="24"/>
          <w:szCs w:val="24"/>
        </w:rPr>
        <w:tab/>
      </w:r>
      <w:r>
        <w:rPr>
          <w:noProof/>
          <w:snapToGrid w:val="0"/>
          <w:szCs w:val="24"/>
        </w:rPr>
        <w:t>Possession of firearms by security officers</w:t>
      </w:r>
      <w:r>
        <w:rPr>
          <w:noProof/>
        </w:rPr>
        <w:tab/>
      </w:r>
      <w:r>
        <w:rPr>
          <w:noProof/>
        </w:rPr>
        <w:fldChar w:fldCharType="begin"/>
      </w:r>
      <w:r>
        <w:rPr>
          <w:noProof/>
        </w:rPr>
        <w:instrText xml:space="preserve"> PAGEREF _Toc108854213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Temporary permits</w:t>
      </w:r>
      <w:r>
        <w:rPr>
          <w:noProof/>
        </w:rPr>
        <w:tab/>
      </w:r>
      <w:r>
        <w:rPr>
          <w:noProof/>
        </w:rPr>
        <w:fldChar w:fldCharType="begin"/>
      </w:r>
      <w:r>
        <w:rPr>
          <w:noProof/>
        </w:rPr>
        <w:instrText xml:space="preserve"> PAGEREF _Toc108854214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17A</w:t>
      </w:r>
      <w:r>
        <w:rPr>
          <w:noProof/>
          <w:snapToGrid w:val="0"/>
          <w:szCs w:val="24"/>
        </w:rPr>
        <w:t>.</w:t>
      </w:r>
      <w:r>
        <w:rPr>
          <w:noProof/>
          <w:sz w:val="24"/>
          <w:szCs w:val="24"/>
        </w:rPr>
        <w:tab/>
      </w:r>
      <w:r>
        <w:rPr>
          <w:noProof/>
          <w:snapToGrid w:val="0"/>
          <w:szCs w:val="24"/>
        </w:rPr>
        <w:t>Interstate group permits</w:t>
      </w:r>
      <w:r>
        <w:rPr>
          <w:noProof/>
        </w:rPr>
        <w:tab/>
      </w:r>
      <w:r>
        <w:rPr>
          <w:noProof/>
        </w:rPr>
        <w:fldChar w:fldCharType="begin"/>
      </w:r>
      <w:r>
        <w:rPr>
          <w:noProof/>
        </w:rPr>
        <w:instrText xml:space="preserve"> PAGEREF _Toc108854215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lastRenderedPageBreak/>
        <w:t>17B</w:t>
      </w:r>
      <w:r>
        <w:rPr>
          <w:noProof/>
          <w:snapToGrid w:val="0"/>
          <w:szCs w:val="24"/>
        </w:rPr>
        <w:t>.</w:t>
      </w:r>
      <w:r>
        <w:rPr>
          <w:noProof/>
          <w:sz w:val="24"/>
          <w:szCs w:val="24"/>
        </w:rPr>
        <w:tab/>
      </w:r>
      <w:r>
        <w:rPr>
          <w:noProof/>
          <w:snapToGrid w:val="0"/>
          <w:szCs w:val="24"/>
        </w:rPr>
        <w:t>Minister may authorise officers or employees of Agriculture Protection Board to possess, carry and use silencers</w:t>
      </w:r>
      <w:r>
        <w:rPr>
          <w:noProof/>
        </w:rPr>
        <w:tab/>
      </w:r>
      <w:r>
        <w:rPr>
          <w:noProof/>
        </w:rPr>
        <w:fldChar w:fldCharType="begin"/>
      </w:r>
      <w:r>
        <w:rPr>
          <w:noProof/>
        </w:rPr>
        <w:instrText xml:space="preserve"> PAGEREF _Toc108854216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Licensing procedure</w:t>
      </w:r>
      <w:r>
        <w:rPr>
          <w:noProof/>
        </w:rPr>
        <w:tab/>
      </w:r>
      <w:r>
        <w:rPr>
          <w:noProof/>
        </w:rPr>
        <w:fldChar w:fldCharType="begin"/>
      </w:r>
      <w:r>
        <w:rPr>
          <w:noProof/>
        </w:rPr>
        <w:instrText xml:space="preserve"> PAGEREF _Toc108854217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Licensing offences</w:t>
      </w:r>
      <w:r>
        <w:rPr>
          <w:noProof/>
        </w:rPr>
        <w:tab/>
      </w:r>
      <w:r>
        <w:rPr>
          <w:noProof/>
        </w:rPr>
        <w:fldChar w:fldCharType="begin"/>
      </w:r>
      <w:r>
        <w:rPr>
          <w:noProof/>
        </w:rPr>
        <w:instrText xml:space="preserve"> PAGEREF _Toc108854218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19AA.</w:t>
      </w:r>
      <w:r>
        <w:rPr>
          <w:noProof/>
          <w:sz w:val="24"/>
          <w:szCs w:val="24"/>
        </w:rPr>
        <w:tab/>
      </w:r>
      <w:r>
        <w:rPr>
          <w:noProof/>
          <w:szCs w:val="24"/>
        </w:rPr>
        <w:t>Certain offences of lesser severity</w:t>
      </w:r>
      <w:r>
        <w:rPr>
          <w:noProof/>
        </w:rPr>
        <w:tab/>
      </w:r>
      <w:r>
        <w:rPr>
          <w:noProof/>
        </w:rPr>
        <w:fldChar w:fldCharType="begin"/>
      </w:r>
      <w:r>
        <w:rPr>
          <w:noProof/>
        </w:rPr>
        <w:instrText xml:space="preserve"> PAGEREF _Toc108854219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19A</w:t>
      </w:r>
      <w:r>
        <w:rPr>
          <w:noProof/>
          <w:snapToGrid w:val="0"/>
          <w:szCs w:val="24"/>
        </w:rPr>
        <w:t>.</w:t>
      </w:r>
      <w:r>
        <w:rPr>
          <w:noProof/>
          <w:sz w:val="24"/>
          <w:szCs w:val="24"/>
        </w:rPr>
        <w:tab/>
      </w:r>
      <w:r>
        <w:rPr>
          <w:noProof/>
          <w:snapToGrid w:val="0"/>
          <w:szCs w:val="24"/>
        </w:rPr>
        <w:t>Infringement notice</w:t>
      </w:r>
      <w:r>
        <w:rPr>
          <w:noProof/>
        </w:rPr>
        <w:tab/>
      </w:r>
      <w:r>
        <w:rPr>
          <w:noProof/>
        </w:rPr>
        <w:fldChar w:fldCharType="begin"/>
      </w:r>
      <w:r>
        <w:rPr>
          <w:noProof/>
        </w:rPr>
        <w:instrText xml:space="preserve"> PAGEREF _Toc108854220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Revocation, etc.</w:t>
      </w:r>
      <w:r>
        <w:rPr>
          <w:noProof/>
        </w:rPr>
        <w:tab/>
      </w:r>
      <w:r>
        <w:rPr>
          <w:noProof/>
        </w:rPr>
        <w:fldChar w:fldCharType="begin"/>
      </w:r>
      <w:r>
        <w:rPr>
          <w:noProof/>
        </w:rPr>
        <w:instrText xml:space="preserve"> PAGEREF _Toc108854221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Restrictions, limitations and conditions</w:t>
      </w:r>
      <w:r>
        <w:rPr>
          <w:noProof/>
        </w:rPr>
        <w:tab/>
      </w:r>
      <w:r>
        <w:rPr>
          <w:noProof/>
        </w:rPr>
        <w:fldChar w:fldCharType="begin"/>
      </w:r>
      <w:r>
        <w:rPr>
          <w:noProof/>
        </w:rPr>
        <w:instrText xml:space="preserve"> PAGEREF _Toc108854222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21A</w:t>
      </w:r>
      <w:r>
        <w:rPr>
          <w:noProof/>
          <w:snapToGrid w:val="0"/>
          <w:szCs w:val="24"/>
        </w:rPr>
        <w:t>.</w:t>
      </w:r>
      <w:r>
        <w:rPr>
          <w:noProof/>
          <w:sz w:val="24"/>
          <w:szCs w:val="24"/>
        </w:rPr>
        <w:tab/>
      </w:r>
      <w:r>
        <w:rPr>
          <w:noProof/>
          <w:snapToGrid w:val="0"/>
          <w:szCs w:val="24"/>
        </w:rPr>
        <w:t>Supervision and management</w:t>
      </w:r>
      <w:r>
        <w:rPr>
          <w:noProof/>
        </w:rPr>
        <w:tab/>
      </w:r>
      <w:r>
        <w:rPr>
          <w:noProof/>
        </w:rPr>
        <w:fldChar w:fldCharType="begin"/>
      </w:r>
      <w:r>
        <w:rPr>
          <w:noProof/>
        </w:rPr>
        <w:instrText xml:space="preserve"> PAGEREF _Toc108854223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21B</w:t>
      </w:r>
      <w:r>
        <w:rPr>
          <w:noProof/>
          <w:snapToGrid w:val="0"/>
          <w:szCs w:val="24"/>
        </w:rPr>
        <w:t>.</w:t>
      </w:r>
      <w:r>
        <w:rPr>
          <w:noProof/>
          <w:sz w:val="24"/>
          <w:szCs w:val="24"/>
        </w:rPr>
        <w:tab/>
      </w:r>
      <w:r>
        <w:rPr>
          <w:noProof/>
          <w:snapToGrid w:val="0"/>
          <w:szCs w:val="24"/>
        </w:rPr>
        <w:t>Offences by bodies corporate and partnerships</w:t>
      </w:r>
      <w:r>
        <w:rPr>
          <w:noProof/>
        </w:rPr>
        <w:tab/>
      </w:r>
      <w:r>
        <w:rPr>
          <w:noProof/>
        </w:rPr>
        <w:fldChar w:fldCharType="begin"/>
      </w:r>
      <w:r>
        <w:rPr>
          <w:noProof/>
        </w:rPr>
        <w:instrText xml:space="preserve"> PAGEREF _Toc108854224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Reviews</w:t>
      </w:r>
      <w:r>
        <w:rPr>
          <w:noProof/>
        </w:rPr>
        <w:tab/>
      </w:r>
      <w:r>
        <w:rPr>
          <w:noProof/>
        </w:rPr>
        <w:fldChar w:fldCharType="begin"/>
      </w:r>
      <w:r>
        <w:rPr>
          <w:noProof/>
        </w:rPr>
        <w:instrText xml:space="preserve"> PAGEREF _Toc108854225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22A</w:t>
      </w:r>
      <w:r>
        <w:rPr>
          <w:noProof/>
          <w:snapToGrid w:val="0"/>
          <w:szCs w:val="24"/>
        </w:rPr>
        <w:t>.</w:t>
      </w:r>
      <w:r>
        <w:rPr>
          <w:noProof/>
          <w:sz w:val="24"/>
          <w:szCs w:val="24"/>
        </w:rPr>
        <w:tab/>
      </w:r>
      <w:r>
        <w:rPr>
          <w:noProof/>
          <w:snapToGrid w:val="0"/>
          <w:szCs w:val="24"/>
        </w:rPr>
        <w:t>Firearms Act Extract of Licence</w:t>
      </w:r>
      <w:r>
        <w:rPr>
          <w:noProof/>
        </w:rPr>
        <w:tab/>
      </w:r>
      <w:r>
        <w:rPr>
          <w:noProof/>
        </w:rPr>
        <w:fldChar w:fldCharType="begin"/>
      </w:r>
      <w:r>
        <w:rPr>
          <w:noProof/>
        </w:rPr>
        <w:instrText xml:space="preserve"> PAGEREF _Toc108854226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22B</w:t>
      </w:r>
      <w:r>
        <w:rPr>
          <w:noProof/>
          <w:snapToGrid w:val="0"/>
          <w:szCs w:val="24"/>
        </w:rPr>
        <w:t>.</w:t>
      </w:r>
      <w:r>
        <w:rPr>
          <w:noProof/>
          <w:sz w:val="24"/>
          <w:szCs w:val="24"/>
        </w:rPr>
        <w:tab/>
      </w:r>
      <w:r>
        <w:rPr>
          <w:noProof/>
          <w:snapToGrid w:val="0"/>
          <w:szCs w:val="24"/>
        </w:rPr>
        <w:t>Return of Extract of Licence</w:t>
      </w:r>
      <w:r>
        <w:rPr>
          <w:noProof/>
        </w:rPr>
        <w:tab/>
      </w:r>
      <w:r>
        <w:rPr>
          <w:noProof/>
        </w:rPr>
        <w:fldChar w:fldCharType="begin"/>
      </w:r>
      <w:r>
        <w:rPr>
          <w:noProof/>
        </w:rPr>
        <w:instrText xml:space="preserve"> PAGEREF _Toc108854227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22C</w:t>
      </w:r>
      <w:r>
        <w:rPr>
          <w:noProof/>
          <w:snapToGrid w:val="0"/>
          <w:szCs w:val="24"/>
        </w:rPr>
        <w:t>.</w:t>
      </w:r>
      <w:r>
        <w:rPr>
          <w:noProof/>
          <w:sz w:val="24"/>
          <w:szCs w:val="24"/>
        </w:rPr>
        <w:tab/>
      </w:r>
      <w:r>
        <w:rPr>
          <w:noProof/>
          <w:snapToGrid w:val="0"/>
          <w:szCs w:val="24"/>
        </w:rPr>
        <w:t>Offences relating to the Extract of Licence, licences, permits, etc.</w:t>
      </w:r>
      <w:r>
        <w:rPr>
          <w:noProof/>
        </w:rPr>
        <w:tab/>
      </w:r>
      <w:r>
        <w:rPr>
          <w:noProof/>
        </w:rPr>
        <w:fldChar w:fldCharType="begin"/>
      </w:r>
      <w:r>
        <w:rPr>
          <w:noProof/>
        </w:rPr>
        <w:instrText xml:space="preserve"> PAGEREF _Toc108854228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General offences</w:t>
      </w:r>
      <w:r>
        <w:rPr>
          <w:noProof/>
        </w:rPr>
        <w:tab/>
      </w:r>
      <w:r>
        <w:rPr>
          <w:noProof/>
        </w:rPr>
        <w:fldChar w:fldCharType="begin"/>
      </w:r>
      <w:r>
        <w:rPr>
          <w:noProof/>
        </w:rPr>
        <w:instrText xml:space="preserve"> PAGEREF _Toc108854229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23A</w:t>
      </w:r>
      <w:r>
        <w:rPr>
          <w:noProof/>
          <w:snapToGrid w:val="0"/>
          <w:szCs w:val="24"/>
        </w:rPr>
        <w:t>.</w:t>
      </w:r>
      <w:r>
        <w:rPr>
          <w:noProof/>
          <w:sz w:val="24"/>
          <w:szCs w:val="24"/>
        </w:rPr>
        <w:tab/>
      </w:r>
      <w:r>
        <w:rPr>
          <w:noProof/>
          <w:snapToGrid w:val="0"/>
          <w:szCs w:val="24"/>
        </w:rPr>
        <w:t>Limitation periods</w:t>
      </w:r>
      <w:r>
        <w:rPr>
          <w:noProof/>
        </w:rPr>
        <w:tab/>
      </w:r>
      <w:r>
        <w:rPr>
          <w:noProof/>
        </w:rPr>
        <w:fldChar w:fldCharType="begin"/>
      </w:r>
      <w:r>
        <w:rPr>
          <w:noProof/>
        </w:rPr>
        <w:instrText xml:space="preserve"> PAGEREF _Toc108854230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23B</w:t>
      </w:r>
      <w:r>
        <w:rPr>
          <w:noProof/>
          <w:snapToGrid w:val="0"/>
          <w:szCs w:val="24"/>
        </w:rPr>
        <w:t>.</w:t>
      </w:r>
      <w:r>
        <w:rPr>
          <w:noProof/>
          <w:sz w:val="24"/>
          <w:szCs w:val="24"/>
        </w:rPr>
        <w:tab/>
      </w:r>
      <w:r>
        <w:rPr>
          <w:noProof/>
          <w:snapToGrid w:val="0"/>
          <w:szCs w:val="24"/>
        </w:rPr>
        <w:t>Disclosure by doctors of certain information</w:t>
      </w:r>
      <w:r>
        <w:rPr>
          <w:noProof/>
        </w:rPr>
        <w:tab/>
      </w:r>
      <w:r>
        <w:rPr>
          <w:noProof/>
        </w:rPr>
        <w:fldChar w:fldCharType="begin"/>
      </w:r>
      <w:r>
        <w:rPr>
          <w:noProof/>
        </w:rPr>
        <w:instrText xml:space="preserve"> PAGEREF _Toc108854231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23BA.</w:t>
      </w:r>
      <w:r>
        <w:rPr>
          <w:noProof/>
          <w:sz w:val="24"/>
          <w:szCs w:val="24"/>
        </w:rPr>
        <w:tab/>
      </w:r>
      <w:r>
        <w:rPr>
          <w:noProof/>
          <w:szCs w:val="24"/>
        </w:rPr>
        <w:t>Disclosure of certain information by approved club and organisation members</w:t>
      </w:r>
      <w:r>
        <w:rPr>
          <w:noProof/>
        </w:rPr>
        <w:tab/>
      </w:r>
      <w:r>
        <w:rPr>
          <w:noProof/>
        </w:rPr>
        <w:fldChar w:fldCharType="begin"/>
      </w:r>
      <w:r>
        <w:rPr>
          <w:noProof/>
        </w:rPr>
        <w:instrText xml:space="preserve"> PAGEREF _Toc108854232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23C</w:t>
      </w:r>
      <w:r>
        <w:rPr>
          <w:noProof/>
          <w:snapToGrid w:val="0"/>
          <w:szCs w:val="24"/>
        </w:rPr>
        <w:t>.</w:t>
      </w:r>
      <w:r>
        <w:rPr>
          <w:noProof/>
          <w:sz w:val="24"/>
          <w:szCs w:val="24"/>
        </w:rPr>
        <w:tab/>
      </w:r>
      <w:r>
        <w:rPr>
          <w:noProof/>
          <w:snapToGrid w:val="0"/>
          <w:szCs w:val="24"/>
        </w:rPr>
        <w:t>Persons concerned in commission of offences</w:t>
      </w:r>
      <w:r>
        <w:rPr>
          <w:noProof/>
        </w:rPr>
        <w:tab/>
      </w:r>
      <w:r>
        <w:rPr>
          <w:noProof/>
        </w:rPr>
        <w:fldChar w:fldCharType="begin"/>
      </w:r>
      <w:r>
        <w:rPr>
          <w:noProof/>
        </w:rPr>
        <w:instrText xml:space="preserve"> PAGEREF _Toc108854233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Powers of police</w:t>
      </w:r>
      <w:r>
        <w:rPr>
          <w:noProof/>
        </w:rPr>
        <w:tab/>
      </w:r>
      <w:r>
        <w:rPr>
          <w:noProof/>
        </w:rPr>
        <w:fldChar w:fldCharType="begin"/>
      </w:r>
      <w:r>
        <w:rPr>
          <w:noProof/>
        </w:rPr>
        <w:instrText xml:space="preserve"> PAGEREF _Toc108854234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Constructive possession</w:t>
      </w:r>
      <w:r>
        <w:rPr>
          <w:noProof/>
        </w:rPr>
        <w:tab/>
      </w:r>
      <w:r>
        <w:rPr>
          <w:noProof/>
        </w:rPr>
        <w:fldChar w:fldCharType="begin"/>
      </w:r>
      <w:r>
        <w:rPr>
          <w:noProof/>
        </w:rPr>
        <w:instrText xml:space="preserve"> PAGEREF _Toc108854235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Search warrant</w:t>
      </w:r>
      <w:r>
        <w:rPr>
          <w:noProof/>
        </w:rPr>
        <w:tab/>
      </w:r>
      <w:r>
        <w:rPr>
          <w:noProof/>
        </w:rPr>
        <w:fldChar w:fldCharType="begin"/>
      </w:r>
      <w:r>
        <w:rPr>
          <w:noProof/>
        </w:rPr>
        <w:instrText xml:space="preserve"> PAGEREF _Toc108854236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27A</w:t>
      </w:r>
      <w:r>
        <w:rPr>
          <w:noProof/>
          <w:snapToGrid w:val="0"/>
          <w:szCs w:val="24"/>
        </w:rPr>
        <w:t>.</w:t>
      </w:r>
      <w:r>
        <w:rPr>
          <w:noProof/>
          <w:sz w:val="24"/>
          <w:szCs w:val="24"/>
        </w:rPr>
        <w:tab/>
      </w:r>
      <w:r>
        <w:rPr>
          <w:noProof/>
          <w:snapToGrid w:val="0"/>
          <w:szCs w:val="24"/>
        </w:rPr>
        <w:t>Disqualification by court imposing restraining order</w:t>
      </w:r>
      <w:r>
        <w:rPr>
          <w:noProof/>
        </w:rPr>
        <w:tab/>
      </w:r>
      <w:r>
        <w:rPr>
          <w:noProof/>
        </w:rPr>
        <w:fldChar w:fldCharType="begin"/>
      </w:r>
      <w:r>
        <w:rPr>
          <w:noProof/>
        </w:rPr>
        <w:instrText xml:space="preserve"> PAGEREF _Toc108854237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Court may order forfeiture on conviction of offender</w:t>
      </w:r>
      <w:r>
        <w:rPr>
          <w:noProof/>
        </w:rPr>
        <w:tab/>
      </w:r>
      <w:r>
        <w:rPr>
          <w:noProof/>
        </w:rPr>
        <w:fldChar w:fldCharType="begin"/>
      </w:r>
      <w:r>
        <w:rPr>
          <w:noProof/>
        </w:rPr>
        <w:instrText xml:space="preserve"> PAGEREF _Toc108854238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_Toc108854239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Ammunition sales</w:t>
      </w:r>
      <w:r>
        <w:rPr>
          <w:noProof/>
        </w:rPr>
        <w:tab/>
      </w:r>
      <w:r>
        <w:rPr>
          <w:noProof/>
        </w:rPr>
        <w:fldChar w:fldCharType="begin"/>
      </w:r>
      <w:r>
        <w:rPr>
          <w:noProof/>
        </w:rPr>
        <w:instrText xml:space="preserve"> PAGEREF _Toc108854240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30A</w:t>
      </w:r>
      <w:r>
        <w:rPr>
          <w:noProof/>
          <w:snapToGrid w:val="0"/>
          <w:szCs w:val="24"/>
        </w:rPr>
        <w:t>.</w:t>
      </w:r>
      <w:r>
        <w:rPr>
          <w:noProof/>
          <w:sz w:val="24"/>
          <w:szCs w:val="24"/>
        </w:rPr>
        <w:tab/>
      </w:r>
      <w:r>
        <w:rPr>
          <w:noProof/>
          <w:snapToGrid w:val="0"/>
          <w:szCs w:val="24"/>
        </w:rPr>
        <w:t>Sale and disposal of firearms</w:t>
      </w:r>
      <w:r>
        <w:rPr>
          <w:noProof/>
        </w:rPr>
        <w:tab/>
      </w:r>
      <w:r>
        <w:rPr>
          <w:noProof/>
        </w:rPr>
        <w:fldChar w:fldCharType="begin"/>
      </w:r>
      <w:r>
        <w:rPr>
          <w:noProof/>
        </w:rPr>
        <w:instrText xml:space="preserve"> PAGEREF _Toc108854241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30B</w:t>
      </w:r>
      <w:r>
        <w:rPr>
          <w:noProof/>
          <w:snapToGrid w:val="0"/>
          <w:szCs w:val="24"/>
        </w:rPr>
        <w:t>.</w:t>
      </w:r>
      <w:r>
        <w:rPr>
          <w:noProof/>
          <w:sz w:val="24"/>
          <w:szCs w:val="24"/>
        </w:rPr>
        <w:tab/>
      </w:r>
      <w:r>
        <w:rPr>
          <w:noProof/>
          <w:snapToGrid w:val="0"/>
          <w:szCs w:val="24"/>
        </w:rPr>
        <w:t>Loss, theft, destruction, or disposal out of the State, to be reported</w:t>
      </w:r>
      <w:r>
        <w:rPr>
          <w:noProof/>
        </w:rPr>
        <w:tab/>
      </w:r>
      <w:r>
        <w:rPr>
          <w:noProof/>
        </w:rPr>
        <w:fldChar w:fldCharType="begin"/>
      </w:r>
      <w:r>
        <w:rPr>
          <w:noProof/>
        </w:rPr>
        <w:instrText xml:space="preserve"> PAGEREF _Toc108854242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Records</w:t>
      </w:r>
      <w:r>
        <w:rPr>
          <w:noProof/>
        </w:rPr>
        <w:tab/>
      </w:r>
      <w:r>
        <w:rPr>
          <w:noProof/>
        </w:rPr>
        <w:fldChar w:fldCharType="begin"/>
      </w:r>
      <w:r>
        <w:rPr>
          <w:noProof/>
        </w:rPr>
        <w:instrText xml:space="preserve"> PAGEREF _Toc108854243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Safe keeping by traders</w:t>
      </w:r>
      <w:r>
        <w:rPr>
          <w:noProof/>
        </w:rPr>
        <w:tab/>
      </w:r>
      <w:r>
        <w:rPr>
          <w:noProof/>
        </w:rPr>
        <w:fldChar w:fldCharType="begin"/>
      </w:r>
      <w:r>
        <w:rPr>
          <w:noProof/>
        </w:rPr>
        <w:instrText xml:space="preserve"> PAGEREF _Toc108854244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Disposal of firearms</w:t>
      </w:r>
      <w:r>
        <w:rPr>
          <w:noProof/>
        </w:rPr>
        <w:tab/>
      </w:r>
      <w:r>
        <w:rPr>
          <w:noProof/>
        </w:rPr>
        <w:fldChar w:fldCharType="begin"/>
      </w:r>
      <w:r>
        <w:rPr>
          <w:noProof/>
        </w:rPr>
        <w:instrText xml:space="preserve"> PAGEREF _Toc108854245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_Toc108854246 \h </w:instrText>
      </w:r>
      <w:r>
        <w:rPr>
          <w:noProof/>
        </w:rPr>
      </w:r>
      <w:r>
        <w:rPr>
          <w:noProof/>
        </w:rPr>
        <w:fldChar w:fldCharType="separate"/>
      </w:r>
      <w:r>
        <w:rPr>
          <w:noProof/>
        </w:rPr>
        <w:t>66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_Toc108854248 \h </w:instrText>
      </w:r>
      <w:r>
        <w:rPr>
          <w:noProof/>
        </w:rPr>
      </w:r>
      <w:r>
        <w:rPr>
          <w:noProof/>
        </w:rPr>
        <w:fldChar w:fldCharType="separate"/>
      </w:r>
      <w:r>
        <w:rPr>
          <w:noProof/>
        </w:rPr>
        <w:t>69</w:t>
      </w:r>
      <w:r>
        <w:rPr>
          <w:noProof/>
        </w:rPr>
        <w:fldChar w:fldCharType="end"/>
      </w:r>
    </w:p>
    <w:p>
      <w:pPr>
        <w:pStyle w:val="TOC4"/>
      </w:pPr>
      <w:r>
        <w:rPr>
          <w:noProof/>
          <w:snapToGrid w:val="0"/>
          <w:szCs w:val="24"/>
        </w:rPr>
        <w:tab/>
        <w:t>Provisions that have not come into operation</w:t>
      </w:r>
      <w:r>
        <w:rPr>
          <w:noProof/>
        </w:rPr>
        <w:tab/>
      </w:r>
      <w:r>
        <w:rPr>
          <w:noProof/>
        </w:rPr>
        <w:fldChar w:fldCharType="begin"/>
      </w:r>
      <w:r>
        <w:rPr>
          <w:noProof/>
        </w:rPr>
        <w:instrText xml:space="preserve"> PAGEREF _Toc108854249 \h </w:instrText>
      </w:r>
      <w:r>
        <w:rPr>
          <w:noProof/>
        </w:rPr>
      </w:r>
      <w:r>
        <w:rPr>
          <w:noProof/>
        </w:rPr>
        <w:fldChar w:fldCharType="separate"/>
      </w:r>
      <w:r>
        <w:rPr>
          <w:noProof/>
        </w:rPr>
        <w:t>71</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Firearms Act 1973 </w:t>
      </w:r>
    </w:p>
    <w:p>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pPr>
        <w:pStyle w:val="Heading5"/>
        <w:spacing w:before="480"/>
        <w:rPr>
          <w:snapToGrid w:val="0"/>
        </w:rPr>
      </w:pPr>
      <w:bookmarkStart w:id="1" w:name="_Toc411064768"/>
      <w:bookmarkStart w:id="2" w:name="_Toc51574230"/>
      <w:bookmarkStart w:id="3" w:name="_Toc108854192"/>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4" w:name="_Toc411064769"/>
      <w:bookmarkStart w:id="5" w:name="_Toc51574231"/>
      <w:bookmarkStart w:id="6" w:name="_Toc108854193"/>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7" w:name="_Toc411064770"/>
      <w:bookmarkStart w:id="8" w:name="_Toc51574232"/>
      <w:r>
        <w:t>[</w:t>
      </w:r>
      <w:r>
        <w:rPr>
          <w:b/>
          <w:bCs/>
        </w:rPr>
        <w:t>3</w:t>
      </w:r>
      <w:r>
        <w:rPr>
          <w:b/>
        </w:rPr>
        <w:t>.</w:t>
      </w:r>
      <w:r>
        <w:tab/>
        <w:t>Omitted under the Reprints Act 1984 s. 7(4)(f).]</w:t>
      </w:r>
      <w:bookmarkEnd w:id="7"/>
      <w:bookmarkEnd w:id="8"/>
    </w:p>
    <w:p>
      <w:pPr>
        <w:pStyle w:val="Heading5"/>
        <w:rPr>
          <w:snapToGrid w:val="0"/>
        </w:rPr>
      </w:pPr>
      <w:bookmarkStart w:id="9" w:name="_Toc411064771"/>
      <w:bookmarkStart w:id="10" w:name="_Toc51574233"/>
      <w:bookmarkStart w:id="11" w:name="_Toc108854194"/>
      <w:r>
        <w:rPr>
          <w:rStyle w:val="CharSectno"/>
        </w:rPr>
        <w:t>4</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carry</w:t>
      </w:r>
      <w:r>
        <w:rPr>
          <w:b/>
        </w:rPr>
        <w:t>”</w:t>
      </w:r>
      <w:r>
        <w:t xml:space="preserve"> includes to have on or about one’s person;</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Extract of Licence</w:t>
      </w:r>
      <w:r>
        <w:rPr>
          <w:b/>
        </w:rPr>
        <w:t>”</w:t>
      </w:r>
      <w:r>
        <w:t xml:space="preserve"> means a Firearms Act Extract of Licence referred to in, and issued under, section 22A;</w:t>
      </w:r>
    </w:p>
    <w:p>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t>“</w:t>
      </w:r>
      <w:r>
        <w:rPr>
          <w:rStyle w:val="CharDefText"/>
        </w:rPr>
        <w:t>handgun</w:t>
      </w:r>
      <w:r>
        <w:rPr>
          <w:b/>
        </w:rPr>
        <w:t>”</w:t>
      </w:r>
      <w:r>
        <w:t xml:space="preserve"> means any lethal firearm and any other weapon of any length of barrel —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t>“</w:t>
      </w:r>
      <w:r>
        <w:rPr>
          <w:rStyle w:val="CharDefText"/>
        </w:rPr>
        <w:t>holder</w:t>
      </w:r>
      <w:r>
        <w:rPr>
          <w:b/>
        </w:rPr>
        <w:t>”</w:t>
      </w:r>
      <w:r>
        <w:t>, in the context of an approval given under this Act, means the person to whom the approval relates;</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pPr>
        <w:pStyle w:val="Defstart"/>
      </w:pPr>
      <w:r>
        <w:tab/>
      </w:r>
      <w:r>
        <w:rPr>
          <w:b/>
        </w:rPr>
        <w:t>“</w:t>
      </w:r>
      <w:r>
        <w:rPr>
          <w:rStyle w:val="CharDefText"/>
        </w:rPr>
        <w:t>paintball gun</w:t>
      </w:r>
      <w:r>
        <w:rPr>
          <w:b/>
        </w:rPr>
        <w:t>”</w:t>
      </w:r>
      <w:r>
        <w:t xml:space="preserve"> means a firearm designed to discharge or propel paintball pellets;</w:t>
      </w:r>
    </w:p>
    <w:p>
      <w:pPr>
        <w:pStyle w:val="Defstart"/>
      </w:pPr>
      <w:r>
        <w:rPr>
          <w:b/>
        </w:rPr>
        <w:tab/>
        <w:t>“</w:t>
      </w:r>
      <w:r>
        <w:rPr>
          <w:rStyle w:val="CharDefText"/>
        </w:rPr>
        <w:t>paintball pellets</w:t>
      </w:r>
      <w:r>
        <w:rPr>
          <w:b/>
        </w:rPr>
        <w:t>”</w:t>
      </w:r>
      <w:r>
        <w:t xml:space="preserve"> means pellets —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pPr>
        <w:pStyle w:val="Defstart"/>
      </w:pPr>
      <w:r>
        <w:rPr>
          <w:b/>
        </w:rPr>
        <w:tab/>
        <w:t>“</w:t>
      </w:r>
      <w:r>
        <w:rPr>
          <w:rStyle w:val="CharDefText"/>
        </w:rPr>
        <w:t>section</w:t>
      </w:r>
      <w:r>
        <w:rPr>
          <w:b/>
        </w:rPr>
        <w:t>”</w:t>
      </w:r>
      <w:r>
        <w:t xml:space="preserve"> means section of this Act.</w:t>
      </w:r>
    </w:p>
    <w:p>
      <w:pPr>
        <w:pStyle w:val="Footnotesection"/>
      </w:pPr>
      <w:r>
        <w:tab/>
        <w:t xml:space="preserve">[Section 4 amended by No. 59 of 1996 s. 4 and 40; No. 18 of 1999 s. 21; No. 69 of 2004 s. 4 and 8(1).] </w:t>
      </w:r>
    </w:p>
    <w:p>
      <w:pPr>
        <w:pStyle w:val="Heading5"/>
        <w:rPr>
          <w:snapToGrid w:val="0"/>
        </w:rPr>
      </w:pPr>
      <w:bookmarkStart w:id="12" w:name="_Toc411064772"/>
      <w:bookmarkStart w:id="13" w:name="_Toc51574234"/>
      <w:bookmarkStart w:id="14" w:name="_Toc108854195"/>
      <w:r>
        <w:rPr>
          <w:rStyle w:val="CharSectno"/>
        </w:rPr>
        <w:t>5</w:t>
      </w:r>
      <w:r>
        <w:rPr>
          <w:snapToGrid w:val="0"/>
        </w:rPr>
        <w:t>.</w:t>
      </w:r>
      <w:r>
        <w:rPr>
          <w:snapToGrid w:val="0"/>
        </w:rPr>
        <w:tab/>
        <w:t>Administration</w:t>
      </w:r>
      <w:bookmarkEnd w:id="12"/>
      <w:bookmarkEnd w:id="13"/>
      <w:bookmarkEnd w:id="14"/>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 under this Act.</w:t>
      </w:r>
    </w:p>
    <w:p>
      <w:pPr>
        <w:pStyle w:val="Footnotesection"/>
      </w:pPr>
      <w:r>
        <w:tab/>
        <w:t xml:space="preserve">[Section 5 amended by No. 98 of 1985 s. 3; No. 69 of 2004 s. 8(2).] </w:t>
      </w:r>
    </w:p>
    <w:p>
      <w:pPr>
        <w:pStyle w:val="Heading5"/>
        <w:rPr>
          <w:snapToGrid w:val="0"/>
        </w:rPr>
      </w:pPr>
      <w:bookmarkStart w:id="15" w:name="_Toc411064773"/>
      <w:bookmarkStart w:id="16" w:name="_Toc51574235"/>
      <w:bookmarkStart w:id="17" w:name="_Toc108854196"/>
      <w:r>
        <w:rPr>
          <w:rStyle w:val="CharSectno"/>
        </w:rPr>
        <w:t>5A</w:t>
      </w:r>
      <w:r>
        <w:rPr>
          <w:snapToGrid w:val="0"/>
        </w:rPr>
        <w:t>.</w:t>
      </w:r>
      <w:r>
        <w:rPr>
          <w:snapToGrid w:val="0"/>
        </w:rPr>
        <w:tab/>
        <w:t>Delegation of Commissioner’s power to give licences, permits and approvals</w:t>
      </w:r>
      <w:bookmarkEnd w:id="15"/>
      <w:bookmarkEnd w:id="16"/>
      <w:bookmarkEnd w:id="17"/>
      <w:r>
        <w:rPr>
          <w:snapToGrid w:val="0"/>
        </w:rPr>
        <w:t xml:space="preserve"> </w:t>
      </w:r>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 xml:space="preserve">[Section 5A inserted by No. 59 of 1996 s. 5(1).] </w:t>
      </w:r>
    </w:p>
    <w:p>
      <w:pPr>
        <w:pStyle w:val="Ednotesection"/>
      </w:pPr>
      <w:bookmarkStart w:id="18" w:name="_Toc411064775"/>
      <w:bookmarkStart w:id="19" w:name="_Toc51574237"/>
      <w:r>
        <w:t>[</w:t>
      </w:r>
      <w:r>
        <w:rPr>
          <w:b/>
        </w:rPr>
        <w:t>5B.</w:t>
      </w:r>
      <w:r>
        <w:rPr>
          <w:b/>
        </w:rPr>
        <w:tab/>
      </w:r>
      <w:r>
        <w:t>Repealed by No. 69 of 2004 s. 9.]</w:t>
      </w:r>
    </w:p>
    <w:p>
      <w:pPr>
        <w:pStyle w:val="Heading5"/>
        <w:rPr>
          <w:snapToGrid w:val="0"/>
        </w:rPr>
      </w:pPr>
      <w:bookmarkStart w:id="20" w:name="_Toc108854197"/>
      <w:r>
        <w:rPr>
          <w:rStyle w:val="CharSectno"/>
        </w:rPr>
        <w:t>6</w:t>
      </w:r>
      <w:r>
        <w:rPr>
          <w:snapToGrid w:val="0"/>
        </w:rPr>
        <w:t>.</w:t>
      </w:r>
      <w:r>
        <w:rPr>
          <w:snapToGrid w:val="0"/>
        </w:rPr>
        <w:tab/>
        <w:t>Prohibition</w:t>
      </w:r>
      <w:bookmarkEnd w:id="18"/>
      <w:bookmarkEnd w:id="19"/>
      <w:bookmarkEnd w:id="20"/>
      <w:r>
        <w:rPr>
          <w:snapToGrid w:val="0"/>
        </w:rPr>
        <w:t xml:space="preserve"> </w:t>
      </w:r>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 xml:space="preserve">[Section 6 amended by No. 35 of 1980 s. 3; No. 70 of 1987 s. 4; No. 59 of 1996 s. 7 and 45; No. 4 of 2004 s.  58; No. 69 of 2004 s. 10.] </w:t>
      </w:r>
    </w:p>
    <w:p>
      <w:pPr>
        <w:pStyle w:val="Heading5"/>
        <w:rPr>
          <w:snapToGrid w:val="0"/>
        </w:rPr>
      </w:pPr>
      <w:bookmarkStart w:id="21" w:name="_Toc411064776"/>
      <w:bookmarkStart w:id="22" w:name="_Toc51574238"/>
      <w:bookmarkStart w:id="23" w:name="_Toc108854198"/>
      <w:r>
        <w:rPr>
          <w:rStyle w:val="CharSectno"/>
        </w:rPr>
        <w:t>7</w:t>
      </w:r>
      <w:r>
        <w:rPr>
          <w:snapToGrid w:val="0"/>
        </w:rPr>
        <w:t>.</w:t>
      </w:r>
      <w:r>
        <w:rPr>
          <w:snapToGrid w:val="0"/>
        </w:rPr>
        <w:tab/>
        <w:t>Governor may order delivery of firearms by dealers and manufacturers in cases of emergency</w:t>
      </w:r>
      <w:bookmarkEnd w:id="21"/>
      <w:bookmarkEnd w:id="22"/>
      <w:bookmarkEnd w:id="23"/>
      <w:r>
        <w:rPr>
          <w:snapToGrid w:val="0"/>
        </w:rPr>
        <w:t xml:space="preserve"> </w:t>
      </w:r>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 xml:space="preserve">[Section 7 amended by No. 70 of 1987 s. 5; No. 59 of 1996 s. 46; No. 4 of 2004 s.  58.] </w:t>
      </w:r>
    </w:p>
    <w:p>
      <w:pPr>
        <w:pStyle w:val="Heading5"/>
        <w:rPr>
          <w:snapToGrid w:val="0"/>
        </w:rPr>
      </w:pPr>
      <w:bookmarkStart w:id="24" w:name="_Toc411064777"/>
      <w:bookmarkStart w:id="25" w:name="_Toc51574239"/>
      <w:bookmarkStart w:id="26" w:name="_Toc108854199"/>
      <w:r>
        <w:rPr>
          <w:rStyle w:val="CharSectno"/>
        </w:rPr>
        <w:t>8</w:t>
      </w:r>
      <w:r>
        <w:rPr>
          <w:snapToGrid w:val="0"/>
        </w:rPr>
        <w:t>.</w:t>
      </w:r>
      <w:r>
        <w:rPr>
          <w:snapToGrid w:val="0"/>
        </w:rPr>
        <w:tab/>
        <w:t>Exemptions from licensing requirements</w:t>
      </w:r>
      <w:bookmarkEnd w:id="24"/>
      <w:bookmarkEnd w:id="25"/>
      <w:bookmarkEnd w:id="26"/>
      <w:r>
        <w:rPr>
          <w:snapToGrid w:val="0"/>
        </w:rPr>
        <w:t xml:space="preserve"> </w:t>
      </w:r>
    </w:p>
    <w:p>
      <w:pPr>
        <w:pStyle w:val="Subsection"/>
        <w:rPr>
          <w:snapToGrid w:val="0"/>
        </w:rPr>
      </w:pPr>
      <w:r>
        <w:rPr>
          <w:snapToGrid w:val="0"/>
        </w:rPr>
        <w:tab/>
        <w:t>(1)</w:t>
      </w:r>
      <w:r>
        <w:rPr>
          <w:snapToGrid w:val="0"/>
        </w:rPr>
        <w:tab/>
        <w:t>No licence under this Act is required —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pPr>
        <w:pStyle w:val="Defstart"/>
      </w:pPr>
      <w:r>
        <w:rPr>
          <w:b/>
        </w:rPr>
        <w:tab/>
        <w:t>“</w:t>
      </w:r>
      <w:r>
        <w:rPr>
          <w:rStyle w:val="CharDefText"/>
        </w:rPr>
        <w:t>family member</w:t>
      </w:r>
      <w:r>
        <w:rPr>
          <w:b/>
        </w:rPr>
        <w:t>”</w:t>
      </w:r>
      <w:r>
        <w:t>, in relation to a person, means —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 xml:space="preserve">[Section 8 amended by No. 59 of 1996 s. 8; No. 28 of 2003 s. 59; No. 69 of 2004 s. 5, 8(3) and 11.] </w:t>
      </w:r>
    </w:p>
    <w:p>
      <w:pPr>
        <w:pStyle w:val="Heading5"/>
        <w:rPr>
          <w:snapToGrid w:val="0"/>
        </w:rPr>
      </w:pPr>
      <w:bookmarkStart w:id="27" w:name="_Toc411064778"/>
      <w:bookmarkStart w:id="28" w:name="_Toc51574240"/>
      <w:bookmarkStart w:id="29" w:name="_Toc108854200"/>
      <w:r>
        <w:rPr>
          <w:rStyle w:val="CharSectno"/>
        </w:rPr>
        <w:t>9</w:t>
      </w:r>
      <w:r>
        <w:rPr>
          <w:snapToGrid w:val="0"/>
        </w:rPr>
        <w:t>.</w:t>
      </w:r>
      <w:r>
        <w:rPr>
          <w:snapToGrid w:val="0"/>
        </w:rPr>
        <w:tab/>
        <w:t>Licences etc. not transferable</w:t>
      </w:r>
      <w:bookmarkEnd w:id="27"/>
      <w:bookmarkEnd w:id="28"/>
      <w:bookmarkEnd w:id="29"/>
      <w:r>
        <w:rPr>
          <w:snapToGrid w:val="0"/>
        </w:rPr>
        <w:t xml:space="preserve"> </w:t>
      </w:r>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30" w:name="_Toc411064779"/>
      <w:bookmarkStart w:id="31" w:name="_Toc51574241"/>
      <w:bookmarkStart w:id="32" w:name="_Toc108854201"/>
      <w:r>
        <w:rPr>
          <w:rStyle w:val="CharSectno"/>
        </w:rPr>
        <w:t>9A</w:t>
      </w:r>
      <w:r>
        <w:rPr>
          <w:snapToGrid w:val="0"/>
        </w:rPr>
        <w:t>.</w:t>
      </w:r>
      <w:r>
        <w:rPr>
          <w:snapToGrid w:val="0"/>
        </w:rPr>
        <w:tab/>
        <w:t>Duration and renewal of licences</w:t>
      </w:r>
      <w:bookmarkEnd w:id="30"/>
      <w:bookmarkEnd w:id="31"/>
      <w:bookmarkEnd w:id="32"/>
      <w:r>
        <w:rPr>
          <w:snapToGrid w:val="0"/>
        </w:rPr>
        <w:t xml:space="preserve"> </w:t>
      </w:r>
    </w:p>
    <w:p>
      <w:pPr>
        <w:pStyle w:val="Subsection"/>
        <w:rPr>
          <w:snapToGrid w:val="0"/>
        </w:rPr>
      </w:pPr>
      <w:r>
        <w:rPr>
          <w:snapToGrid w:val="0"/>
        </w:rPr>
        <w:tab/>
        <w:t>(1)</w:t>
      </w:r>
      <w:r>
        <w:rPr>
          <w:snapToGrid w:val="0"/>
        </w:rPr>
        <w:tab/>
        <w:t>The period for which this section provides that a licence is valid is subject to —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 xml:space="preserve">[Section 9A inserted by No. 59 of 1996 s. 9; amended by No. 69 of 2004 s. 12.] </w:t>
      </w:r>
    </w:p>
    <w:p>
      <w:pPr>
        <w:pStyle w:val="Heading5"/>
        <w:rPr>
          <w:snapToGrid w:val="0"/>
        </w:rPr>
      </w:pPr>
      <w:bookmarkStart w:id="33" w:name="_Toc411064780"/>
      <w:bookmarkStart w:id="34" w:name="_Toc51574242"/>
      <w:bookmarkStart w:id="35" w:name="_Toc108854202"/>
      <w:r>
        <w:rPr>
          <w:rStyle w:val="CharSectno"/>
        </w:rPr>
        <w:t>10</w:t>
      </w:r>
      <w:r>
        <w:rPr>
          <w:snapToGrid w:val="0"/>
        </w:rPr>
        <w:t>.</w:t>
      </w:r>
      <w:r>
        <w:rPr>
          <w:snapToGrid w:val="0"/>
        </w:rPr>
        <w:tab/>
        <w:t>Minimum age of licensee or permit holder</w:t>
      </w:r>
      <w:bookmarkEnd w:id="33"/>
      <w:bookmarkEnd w:id="34"/>
      <w:bookmarkEnd w:id="35"/>
      <w:r>
        <w:rPr>
          <w:snapToGrid w:val="0"/>
        </w:rPr>
        <w:t xml:space="preserve"> </w:t>
      </w:r>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 xml:space="preserve">[Section 10 inserted by No. 59 of 1996 s. 10.] </w:t>
      </w:r>
    </w:p>
    <w:p>
      <w:pPr>
        <w:pStyle w:val="Heading5"/>
        <w:rPr>
          <w:snapToGrid w:val="0"/>
        </w:rPr>
      </w:pPr>
      <w:bookmarkStart w:id="36" w:name="_Toc411064781"/>
      <w:bookmarkStart w:id="37" w:name="_Toc51574243"/>
      <w:bookmarkStart w:id="38" w:name="_Toc108854203"/>
      <w:r>
        <w:rPr>
          <w:rStyle w:val="CharSectno"/>
        </w:rPr>
        <w:t>10A</w:t>
      </w:r>
      <w:r>
        <w:rPr>
          <w:snapToGrid w:val="0"/>
        </w:rPr>
        <w:t>.</w:t>
      </w:r>
      <w:r>
        <w:rPr>
          <w:snapToGrid w:val="0"/>
        </w:rPr>
        <w:tab/>
        <w:t>Training courses</w:t>
      </w:r>
      <w:bookmarkEnd w:id="36"/>
      <w:bookmarkEnd w:id="37"/>
      <w:bookmarkEnd w:id="38"/>
      <w:r>
        <w:rPr>
          <w:snapToGrid w:val="0"/>
        </w:rPr>
        <w:t xml:space="preserve"> </w:t>
      </w:r>
    </w:p>
    <w:p>
      <w:pPr>
        <w:pStyle w:val="Subsection"/>
        <w:keepNext/>
        <w:rPr>
          <w:snapToGrid w:val="0"/>
        </w:rPr>
      </w:pPr>
      <w:r>
        <w:rPr>
          <w:snapToGrid w:val="0"/>
        </w:rPr>
        <w:tab/>
      </w:r>
      <w:r>
        <w:rPr>
          <w:snapToGrid w:val="0"/>
        </w:rPr>
        <w:tab/>
        <w:t>Regulations made under section 34 may —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 xml:space="preserve">[Section 10A inserted by No. 59 of 1996 s. 11.] </w:t>
      </w:r>
    </w:p>
    <w:p>
      <w:pPr>
        <w:pStyle w:val="Heading5"/>
        <w:rPr>
          <w:snapToGrid w:val="0"/>
        </w:rPr>
      </w:pPr>
      <w:bookmarkStart w:id="39" w:name="_Toc411064782"/>
      <w:bookmarkStart w:id="40" w:name="_Toc51574244"/>
      <w:bookmarkStart w:id="41" w:name="_Toc108854204"/>
      <w:r>
        <w:rPr>
          <w:rStyle w:val="CharSectno"/>
        </w:rPr>
        <w:t>11</w:t>
      </w:r>
      <w:r>
        <w:rPr>
          <w:snapToGrid w:val="0"/>
        </w:rPr>
        <w:t>.</w:t>
      </w:r>
      <w:r>
        <w:rPr>
          <w:snapToGrid w:val="0"/>
        </w:rPr>
        <w:tab/>
        <w:t>Exercise of Commissioner’s discretion</w:t>
      </w:r>
      <w:bookmarkEnd w:id="39"/>
      <w:bookmarkEnd w:id="40"/>
      <w:bookmarkEnd w:id="41"/>
      <w:r>
        <w:rPr>
          <w:snapToGrid w:val="0"/>
        </w:rPr>
        <w:t xml:space="preserve"> </w:t>
      </w:r>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 xml:space="preserve">[Section 11 inserted by No. 59 of 1996 s. 12; amended by No. 69 of 2004 s. 13.] </w:t>
      </w:r>
    </w:p>
    <w:p>
      <w:pPr>
        <w:pStyle w:val="Heading5"/>
        <w:rPr>
          <w:snapToGrid w:val="0"/>
        </w:rPr>
      </w:pPr>
      <w:bookmarkStart w:id="42" w:name="_Toc411064783"/>
      <w:bookmarkStart w:id="43" w:name="_Toc51574245"/>
      <w:bookmarkStart w:id="44" w:name="_Toc108854205"/>
      <w:r>
        <w:rPr>
          <w:rStyle w:val="CharSectno"/>
        </w:rPr>
        <w:t>11A</w:t>
      </w:r>
      <w:r>
        <w:rPr>
          <w:snapToGrid w:val="0"/>
        </w:rPr>
        <w:t>.</w:t>
      </w:r>
      <w:r>
        <w:rPr>
          <w:snapToGrid w:val="0"/>
        </w:rPr>
        <w:tab/>
        <w:t>Genuine reason required in all cases</w:t>
      </w:r>
      <w:bookmarkEnd w:id="42"/>
      <w:bookmarkEnd w:id="43"/>
      <w:bookmarkEnd w:id="44"/>
      <w:r>
        <w:rPr>
          <w:snapToGrid w:val="0"/>
        </w:rPr>
        <w:t xml:space="preserve"> </w:t>
      </w:r>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spacing w:before="120"/>
        <w:rPr>
          <w:snapToGrid w:val="0"/>
        </w:rPr>
      </w:pPr>
      <w:r>
        <w:rPr>
          <w:snapToGrid w:val="0"/>
        </w:rPr>
        <w:tab/>
        <w:t>(2)</w:t>
      </w:r>
      <w:r>
        <w:rPr>
          <w:snapToGrid w:val="0"/>
        </w:rPr>
        <w:tab/>
        <w:t>A person has a genuine reason for acquiring or possessing a firearm or ammunition if and only if —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spacing w:before="120"/>
        <w:rPr>
          <w:snapToGrid w:val="0"/>
        </w:rPr>
      </w:pPr>
      <w:r>
        <w:rPr>
          <w:snapToGrid w:val="0"/>
        </w:rPr>
        <w:tab/>
        <w:t>(6)</w:t>
      </w:r>
      <w:r>
        <w:rPr>
          <w:snapToGrid w:val="0"/>
        </w:rPr>
        <w:tab/>
        <w:t>Regulations made under section 34 may limit the purposes that may be approved under subsection (2)(f).</w:t>
      </w:r>
    </w:p>
    <w:p>
      <w:pPr>
        <w:pStyle w:val="Footnotesection"/>
      </w:pPr>
      <w:r>
        <w:tab/>
        <w:t xml:space="preserve">[Section 11A inserted by No. 59 of 1996 s. 12; amended by No. 69 of 2004 s. 6 and 14.] </w:t>
      </w:r>
    </w:p>
    <w:p>
      <w:pPr>
        <w:pStyle w:val="Heading5"/>
        <w:rPr>
          <w:snapToGrid w:val="0"/>
        </w:rPr>
      </w:pPr>
      <w:bookmarkStart w:id="45" w:name="_Toc411064784"/>
      <w:bookmarkStart w:id="46" w:name="_Toc51574246"/>
      <w:bookmarkStart w:id="47" w:name="_Toc108854206"/>
      <w:r>
        <w:rPr>
          <w:rStyle w:val="CharSectno"/>
        </w:rPr>
        <w:t>11B</w:t>
      </w:r>
      <w:r>
        <w:rPr>
          <w:snapToGrid w:val="0"/>
        </w:rPr>
        <w:t>.</w:t>
      </w:r>
      <w:r>
        <w:rPr>
          <w:snapToGrid w:val="0"/>
        </w:rPr>
        <w:tab/>
        <w:t>Genuine need required in some cases</w:t>
      </w:r>
      <w:bookmarkEnd w:id="45"/>
      <w:bookmarkEnd w:id="46"/>
      <w:bookmarkEnd w:id="47"/>
      <w:r>
        <w:rPr>
          <w:snapToGrid w:val="0"/>
        </w:rPr>
        <w:t xml:space="preserve"> </w:t>
      </w:r>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 xml:space="preserve">[Section 11B inserted by No. 59 of 1996 s. 12.] </w:t>
      </w:r>
    </w:p>
    <w:p>
      <w:pPr>
        <w:pStyle w:val="Heading5"/>
        <w:rPr>
          <w:snapToGrid w:val="0"/>
        </w:rPr>
      </w:pPr>
      <w:bookmarkStart w:id="48" w:name="_Toc411064785"/>
      <w:bookmarkStart w:id="49" w:name="_Toc51574247"/>
      <w:bookmarkStart w:id="50" w:name="_Toc108854207"/>
      <w:r>
        <w:rPr>
          <w:rStyle w:val="CharSectno"/>
        </w:rPr>
        <w:t>11C</w:t>
      </w:r>
      <w:r>
        <w:rPr>
          <w:snapToGrid w:val="0"/>
        </w:rPr>
        <w:t>.</w:t>
      </w:r>
      <w:r>
        <w:rPr>
          <w:snapToGrid w:val="0"/>
        </w:rPr>
        <w:tab/>
        <w:t>Other restrictions</w:t>
      </w:r>
      <w:bookmarkEnd w:id="48"/>
      <w:bookmarkEnd w:id="49"/>
      <w:bookmarkEnd w:id="50"/>
      <w:r>
        <w:rPr>
          <w:snapToGrid w:val="0"/>
        </w:rPr>
        <w:t xml:space="preserve"> </w:t>
      </w:r>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 xml:space="preserve">[Section 11C inserted by No. 59 of 1996 s. 12.] </w:t>
      </w:r>
    </w:p>
    <w:p>
      <w:pPr>
        <w:pStyle w:val="Heading5"/>
        <w:rPr>
          <w:snapToGrid w:val="0"/>
        </w:rPr>
      </w:pPr>
      <w:bookmarkStart w:id="51" w:name="_Toc411064786"/>
      <w:bookmarkStart w:id="52" w:name="_Toc51574248"/>
      <w:bookmarkStart w:id="53" w:name="_Toc108854208"/>
      <w:r>
        <w:rPr>
          <w:rStyle w:val="CharSectno"/>
        </w:rPr>
        <w:t>12</w:t>
      </w:r>
      <w:r>
        <w:rPr>
          <w:snapToGrid w:val="0"/>
        </w:rPr>
        <w:t>.</w:t>
      </w:r>
      <w:r>
        <w:rPr>
          <w:snapToGrid w:val="0"/>
        </w:rPr>
        <w:tab/>
        <w:t>Unsafe or unserviceable firearms</w:t>
      </w:r>
      <w:bookmarkEnd w:id="51"/>
      <w:bookmarkEnd w:id="52"/>
      <w:bookmarkEnd w:id="53"/>
      <w:r>
        <w:rPr>
          <w:snapToGrid w:val="0"/>
        </w:rPr>
        <w:t xml:space="preserve"> </w:t>
      </w:r>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 xml:space="preserve">[Section 12 inserted by No. 59 of 1996 s. 13.] </w:t>
      </w:r>
    </w:p>
    <w:p>
      <w:pPr>
        <w:pStyle w:val="Ednotesection"/>
      </w:pPr>
      <w:r>
        <w:t>[</w:t>
      </w:r>
      <w:r>
        <w:rPr>
          <w:b/>
        </w:rPr>
        <w:t>13, 14.</w:t>
      </w:r>
      <w:r>
        <w:tab/>
        <w:t xml:space="preserve">Repealed by No. 59 of 1996 s. 5(2).] </w:t>
      </w:r>
    </w:p>
    <w:p>
      <w:pPr>
        <w:pStyle w:val="Heading5"/>
        <w:rPr>
          <w:snapToGrid w:val="0"/>
        </w:rPr>
      </w:pPr>
      <w:bookmarkStart w:id="54" w:name="_Toc411064787"/>
      <w:bookmarkStart w:id="55" w:name="_Toc51574249"/>
      <w:bookmarkStart w:id="56" w:name="_Toc108854209"/>
      <w:r>
        <w:rPr>
          <w:rStyle w:val="CharSectno"/>
        </w:rPr>
        <w:t>15</w:t>
      </w:r>
      <w:r>
        <w:rPr>
          <w:snapToGrid w:val="0"/>
        </w:rPr>
        <w:t>.</w:t>
      </w:r>
      <w:r>
        <w:rPr>
          <w:snapToGrid w:val="0"/>
        </w:rPr>
        <w:tab/>
        <w:t>Firearm collections</w:t>
      </w:r>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pPr>
      <w:r>
        <w:tab/>
        <w:t xml:space="preserve">[Section 15 inserted by No. 59 of 1996 s. 14; amended by No. 69 of 2004 s. 15(1) and (2).] </w:t>
      </w:r>
    </w:p>
    <w:p>
      <w:pPr>
        <w:pStyle w:val="Heading5"/>
      </w:pPr>
      <w:bookmarkStart w:id="57" w:name="_Toc108854210"/>
      <w:bookmarkStart w:id="58" w:name="_Toc411064788"/>
      <w:bookmarkStart w:id="59" w:name="_Toc51574250"/>
      <w:r>
        <w:rPr>
          <w:rStyle w:val="CharSectno"/>
        </w:rPr>
        <w:t>15A</w:t>
      </w:r>
      <w:r>
        <w:t>.</w:t>
      </w:r>
      <w:r>
        <w:tab/>
        <w:t>Accredited societies of collectors</w:t>
      </w:r>
      <w:bookmarkEnd w:id="57"/>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pPr>
        <w:pStyle w:val="Indenta"/>
        <w:rPr>
          <w:snapToGrid w:val="0"/>
        </w:rPr>
      </w:pPr>
      <w:r>
        <w:rPr>
          <w:snapToGrid w:val="0"/>
        </w:rPr>
        <w:tab/>
        <w:t>(a)</w:t>
      </w:r>
      <w:r>
        <w:rPr>
          <w:snapToGrid w:val="0"/>
        </w:rPr>
        <w:tab/>
        <w:t>handguns in particular; or</w:t>
      </w:r>
    </w:p>
    <w:p>
      <w:pPr>
        <w:pStyle w:val="Indenta"/>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pPr>
      <w:r>
        <w:tab/>
        <w:t>[Section 15A inserted by No. 69 of 2004 s. 16.]</w:t>
      </w:r>
    </w:p>
    <w:p>
      <w:pPr>
        <w:pStyle w:val="Heading5"/>
        <w:rPr>
          <w:snapToGrid w:val="0"/>
        </w:rPr>
      </w:pPr>
      <w:bookmarkStart w:id="60" w:name="_Toc108854211"/>
      <w:r>
        <w:rPr>
          <w:rStyle w:val="CharSectno"/>
        </w:rPr>
        <w:t>15B</w:t>
      </w:r>
      <w:r>
        <w:t>.</w:t>
      </w:r>
      <w:r>
        <w:tab/>
        <w:t>Information from accredited society of collectors</w:t>
      </w:r>
      <w:bookmarkEnd w:id="6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61" w:name="_Toc108854212"/>
      <w:r>
        <w:rPr>
          <w:rStyle w:val="CharSectno"/>
        </w:rPr>
        <w:t>16</w:t>
      </w:r>
      <w:r>
        <w:rPr>
          <w:snapToGrid w:val="0"/>
        </w:rPr>
        <w:t>.</w:t>
      </w:r>
      <w:r>
        <w:rPr>
          <w:snapToGrid w:val="0"/>
        </w:rPr>
        <w:tab/>
        <w:t>Licences</w:t>
      </w:r>
      <w:bookmarkEnd w:id="58"/>
      <w:bookmarkEnd w:id="59"/>
      <w:bookmarkEnd w:id="61"/>
      <w:r>
        <w:rPr>
          <w:snapToGrid w:val="0"/>
        </w:rPr>
        <w:t xml:space="preserve"> </w:t>
      </w:r>
    </w:p>
    <w:p>
      <w:pPr>
        <w:pStyle w:val="Subsection"/>
        <w:rPr>
          <w:snapToGrid w:val="0"/>
        </w:rPr>
      </w:pPr>
      <w:r>
        <w:rPr>
          <w:snapToGrid w:val="0"/>
        </w:rPr>
        <w:tab/>
        <w:t>(1)</w:t>
      </w:r>
      <w:r>
        <w:rPr>
          <w:snapToGrid w:val="0"/>
        </w:rPr>
        <w:tab/>
        <w:t>The licences which may be issued under this Act are —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 xml:space="preserve">[Section 16 amended by No. 59 of 1996 s. 15; No. 27 of 1996 s. 96.] </w:t>
      </w:r>
    </w:p>
    <w:p>
      <w:pPr>
        <w:pStyle w:val="Heading5"/>
        <w:rPr>
          <w:snapToGrid w:val="0"/>
        </w:rPr>
      </w:pPr>
      <w:bookmarkStart w:id="62" w:name="_Toc411064789"/>
      <w:bookmarkStart w:id="63" w:name="_Toc51574251"/>
      <w:bookmarkStart w:id="64" w:name="_Toc108854213"/>
      <w:r>
        <w:rPr>
          <w:rStyle w:val="CharSectno"/>
        </w:rPr>
        <w:t>16A</w:t>
      </w:r>
      <w:r>
        <w:rPr>
          <w:snapToGrid w:val="0"/>
        </w:rPr>
        <w:t>.</w:t>
      </w:r>
      <w:r>
        <w:rPr>
          <w:snapToGrid w:val="0"/>
        </w:rPr>
        <w:tab/>
        <w:t>Possession of firearms by security officers</w:t>
      </w:r>
      <w:bookmarkEnd w:id="62"/>
      <w:bookmarkEnd w:id="63"/>
      <w:bookmarkEnd w:id="64"/>
      <w:r>
        <w:rPr>
          <w:snapToGrid w:val="0"/>
        </w:rPr>
        <w:t xml:space="preserve"> </w:t>
      </w:r>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65" w:name="_Toc411064790"/>
      <w:bookmarkStart w:id="66" w:name="_Toc51574252"/>
      <w:bookmarkStart w:id="67" w:name="_Toc108854214"/>
      <w:r>
        <w:rPr>
          <w:rStyle w:val="CharSectno"/>
        </w:rPr>
        <w:t>17</w:t>
      </w:r>
      <w:r>
        <w:rPr>
          <w:snapToGrid w:val="0"/>
        </w:rPr>
        <w:t>.</w:t>
      </w:r>
      <w:r>
        <w:rPr>
          <w:snapToGrid w:val="0"/>
        </w:rPr>
        <w:tab/>
        <w:t>Temporary permits</w:t>
      </w:r>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 xml:space="preserve">[Section 17 amended by No. 59 of 2004 s. 141.] </w:t>
      </w:r>
    </w:p>
    <w:p>
      <w:pPr>
        <w:pStyle w:val="Heading5"/>
        <w:rPr>
          <w:snapToGrid w:val="0"/>
        </w:rPr>
      </w:pPr>
      <w:bookmarkStart w:id="68" w:name="_Toc411064791"/>
      <w:bookmarkStart w:id="69" w:name="_Toc51574253"/>
      <w:bookmarkStart w:id="70" w:name="_Toc108854215"/>
      <w:r>
        <w:rPr>
          <w:rStyle w:val="CharSectno"/>
        </w:rPr>
        <w:t>17A</w:t>
      </w:r>
      <w:r>
        <w:rPr>
          <w:snapToGrid w:val="0"/>
        </w:rPr>
        <w:t>.</w:t>
      </w:r>
      <w:r>
        <w:rPr>
          <w:snapToGrid w:val="0"/>
        </w:rPr>
        <w:tab/>
        <w:t>Interstate group permits</w:t>
      </w:r>
      <w:bookmarkEnd w:id="68"/>
      <w:bookmarkEnd w:id="69"/>
      <w:bookmarkEnd w:id="70"/>
      <w:r>
        <w:rPr>
          <w:snapToGrid w:val="0"/>
        </w:rPr>
        <w:t xml:space="preserve"> </w:t>
      </w:r>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 xml:space="preserve">[Section 17A inserted by No. 61 of 1976 s. 2.] </w:t>
      </w:r>
    </w:p>
    <w:p>
      <w:pPr>
        <w:pStyle w:val="Heading5"/>
        <w:rPr>
          <w:snapToGrid w:val="0"/>
        </w:rPr>
      </w:pPr>
      <w:bookmarkStart w:id="71" w:name="_Toc411064792"/>
      <w:bookmarkStart w:id="72" w:name="_Toc51574254"/>
      <w:bookmarkStart w:id="73" w:name="_Toc108854216"/>
      <w:r>
        <w:rPr>
          <w:rStyle w:val="CharSectno"/>
        </w:rPr>
        <w:t>17B</w:t>
      </w:r>
      <w:r>
        <w:rPr>
          <w:snapToGrid w:val="0"/>
        </w:rPr>
        <w:t>.</w:t>
      </w:r>
      <w:r>
        <w:rPr>
          <w:snapToGrid w:val="0"/>
        </w:rPr>
        <w:tab/>
        <w:t>Minister may authorise officers or employees of Agriculture Protection Board to possess, carry and use silencers</w:t>
      </w:r>
      <w:bookmarkEnd w:id="71"/>
      <w:bookmarkEnd w:id="72"/>
      <w:bookmarkEnd w:id="73"/>
      <w:r>
        <w:rPr>
          <w:snapToGrid w:val="0"/>
        </w:rPr>
        <w:t xml:space="preserve"> </w:t>
      </w:r>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authority</w:t>
      </w:r>
      <w:r>
        <w:rPr>
          <w:b/>
        </w:rPr>
        <w:t>”</w:t>
      </w:r>
      <w:r>
        <w:t xml:space="preserve"> means authority granted under subsection (1);</w:t>
      </w:r>
    </w:p>
    <w:p>
      <w:pPr>
        <w:pStyle w:val="Defstart"/>
      </w:pPr>
      <w:r>
        <w:rPr>
          <w:b/>
        </w:rPr>
        <w:tab/>
        <w:t>“</w:t>
      </w:r>
      <w:r>
        <w:rPr>
          <w:rStyle w:val="CharDefText"/>
        </w:rPr>
        <w:t>Corporate Licence</w:t>
      </w:r>
      <w:r>
        <w:rPr>
          <w:b/>
        </w:rPr>
        <w:t>”</w:t>
      </w:r>
      <w:r>
        <w:t xml:space="preserve"> means Corporate Licence referred to in section 16(1)(c);</w:t>
      </w:r>
    </w:p>
    <w:p>
      <w:pPr>
        <w:pStyle w:val="Defstart"/>
      </w:pPr>
      <w:r>
        <w:rPr>
          <w:b/>
        </w:rPr>
        <w:tab/>
        <w:t>“</w:t>
      </w:r>
      <w:r>
        <w:rPr>
          <w:rStyle w:val="CharDefText"/>
        </w:rPr>
        <w:t>silencer</w:t>
      </w:r>
      <w:r>
        <w:rPr>
          <w:b/>
        </w:rPr>
        <w:t>”</w:t>
      </w:r>
      <w:r>
        <w:t xml:space="preserve"> means contrivance commonly known as a silencer, or contrivance of a similar nature;</w:t>
      </w:r>
    </w:p>
    <w:p>
      <w:pPr>
        <w:pStyle w:val="Defstart"/>
      </w:pPr>
      <w:r>
        <w:rPr>
          <w:b/>
        </w:rPr>
        <w:tab/>
        <w:t>“</w:t>
      </w:r>
      <w:r>
        <w:rPr>
          <w:rStyle w:val="CharDefText"/>
        </w:rPr>
        <w:t>subsection</w:t>
      </w:r>
      <w:r>
        <w:rPr>
          <w:b/>
        </w:rPr>
        <w:t>”</w:t>
      </w:r>
      <w:r>
        <w:t xml:space="preserve"> means subsection of this section;</w:t>
      </w:r>
    </w:p>
    <w:p>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pPr>
        <w:pStyle w:val="Footnotesection"/>
      </w:pPr>
      <w:r>
        <w:tab/>
        <w:t xml:space="preserve">[Section 17B inserted by No. 3 of 1983 s. 2; amended by No. 59 of 1996 s. 17.] </w:t>
      </w:r>
    </w:p>
    <w:p>
      <w:pPr>
        <w:pStyle w:val="Heading5"/>
        <w:rPr>
          <w:snapToGrid w:val="0"/>
        </w:rPr>
      </w:pPr>
      <w:bookmarkStart w:id="74" w:name="_Toc411064793"/>
      <w:bookmarkStart w:id="75" w:name="_Toc51574255"/>
      <w:bookmarkStart w:id="76" w:name="_Toc108854217"/>
      <w:r>
        <w:rPr>
          <w:rStyle w:val="CharSectno"/>
        </w:rPr>
        <w:t>18</w:t>
      </w:r>
      <w:r>
        <w:rPr>
          <w:snapToGrid w:val="0"/>
        </w:rPr>
        <w:t>.</w:t>
      </w:r>
      <w:r>
        <w:rPr>
          <w:snapToGrid w:val="0"/>
        </w:rPr>
        <w:tab/>
        <w:t>Licensing procedure</w:t>
      </w:r>
      <w:bookmarkEnd w:id="74"/>
      <w:bookmarkEnd w:id="75"/>
      <w:bookmarkEnd w:id="76"/>
      <w:r>
        <w:rPr>
          <w:snapToGrid w:val="0"/>
        </w:rPr>
        <w:t xml:space="preserve"> </w:t>
      </w:r>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s>
        <w:ind w:left="0" w:firstLine="0"/>
      </w:pPr>
      <w:r>
        <w:tab/>
        <w:t>[(2), (3), (3a)</w:t>
      </w:r>
      <w:r>
        <w:tab/>
        <w:t>repealed]</w:t>
      </w:r>
    </w:p>
    <w:p>
      <w:pPr>
        <w:pStyle w:val="Subsection"/>
        <w:rPr>
          <w:snapToGrid w:val="0"/>
        </w:rPr>
      </w:pPr>
      <w:r>
        <w:rPr>
          <w:snapToGrid w:val="0"/>
        </w:rPr>
        <w:tab/>
        <w:t>(4)</w:t>
      </w:r>
      <w:r>
        <w:rPr>
          <w:snapToGrid w:val="0"/>
        </w:rPr>
        <w:tab/>
        <w:t>The fee payable on the issue of —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 xml:space="preserve">[Section 18 amended by No. 61 of 1976 s. 3; No. 59 of 1996 s. 18; No. 69 of 2004 s. 17.] </w:t>
      </w:r>
    </w:p>
    <w:p>
      <w:pPr>
        <w:pStyle w:val="Heading5"/>
        <w:rPr>
          <w:snapToGrid w:val="0"/>
        </w:rPr>
      </w:pPr>
      <w:bookmarkStart w:id="77" w:name="_Toc411064794"/>
      <w:bookmarkStart w:id="78" w:name="_Toc51574256"/>
      <w:bookmarkStart w:id="79" w:name="_Toc108854218"/>
      <w:r>
        <w:rPr>
          <w:rStyle w:val="CharSectno"/>
        </w:rPr>
        <w:t>19</w:t>
      </w:r>
      <w:r>
        <w:rPr>
          <w:snapToGrid w:val="0"/>
        </w:rPr>
        <w:t>.</w:t>
      </w:r>
      <w:r>
        <w:rPr>
          <w:snapToGrid w:val="0"/>
        </w:rPr>
        <w:tab/>
        <w:t>Licensing offences</w:t>
      </w:r>
      <w:bookmarkEnd w:id="77"/>
      <w:bookmarkEnd w:id="78"/>
      <w:bookmarkEnd w:id="79"/>
      <w:r>
        <w:rPr>
          <w:snapToGrid w:val="0"/>
        </w:rPr>
        <w:t xml:space="preserve"> </w:t>
      </w:r>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 xml:space="preserve">A person who is guilty of a crime under subsection (1) —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 xml:space="preserve">at the time of the offence the offender —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 xml:space="preserve">[Section 19 amended by No. 54 of 1978 s. 2; No. 70 of 1987 s. 6; No. 59 of 1996 s. 19, 47 and 50(1); No. 50 of 2003 s. 62(2); No. 4 of 2004 s.  58; No. 69 of 2004 s. 18 and 31.] </w:t>
      </w:r>
    </w:p>
    <w:p>
      <w:pPr>
        <w:pStyle w:val="Heading5"/>
      </w:pPr>
      <w:bookmarkStart w:id="80" w:name="_Toc108854219"/>
      <w:bookmarkStart w:id="81" w:name="_Toc411064795"/>
      <w:bookmarkStart w:id="82" w:name="_Toc51574257"/>
      <w:r>
        <w:rPr>
          <w:rStyle w:val="CharSectno"/>
        </w:rPr>
        <w:t>19AA</w:t>
      </w:r>
      <w:r>
        <w:t>.</w:t>
      </w:r>
      <w:r>
        <w:tab/>
        <w:t>Certain offences of lesser severity</w:t>
      </w:r>
      <w:bookmarkEnd w:id="80"/>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83" w:name="_Toc108854220"/>
      <w:r>
        <w:rPr>
          <w:rStyle w:val="CharSectno"/>
        </w:rPr>
        <w:t>19A</w:t>
      </w:r>
      <w:r>
        <w:rPr>
          <w:snapToGrid w:val="0"/>
        </w:rPr>
        <w:t>.</w:t>
      </w:r>
      <w:r>
        <w:rPr>
          <w:snapToGrid w:val="0"/>
        </w:rPr>
        <w:tab/>
        <w:t>Infringement notice</w:t>
      </w:r>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 xml:space="preserve">[Section 19A inserted by No. 61 of 1976 s. 4; amended by No. 35 of 1980 s. 4; No. 59 of 1996 s. 20; No. 84 of 2004 s. 80.] </w:t>
      </w:r>
    </w:p>
    <w:p>
      <w:pPr>
        <w:pStyle w:val="Heading5"/>
        <w:rPr>
          <w:snapToGrid w:val="0"/>
        </w:rPr>
      </w:pPr>
      <w:bookmarkStart w:id="84" w:name="_Toc411064796"/>
      <w:bookmarkStart w:id="85" w:name="_Toc51574258"/>
      <w:bookmarkStart w:id="86" w:name="_Toc108854221"/>
      <w:r>
        <w:rPr>
          <w:rStyle w:val="CharSectno"/>
        </w:rPr>
        <w:t>20</w:t>
      </w:r>
      <w:r>
        <w:rPr>
          <w:snapToGrid w:val="0"/>
        </w:rPr>
        <w:t>.</w:t>
      </w:r>
      <w:r>
        <w:rPr>
          <w:snapToGrid w:val="0"/>
        </w:rPr>
        <w:tab/>
        <w:t>Revocation, etc.</w:t>
      </w:r>
      <w:bookmarkEnd w:id="84"/>
      <w:bookmarkEnd w:id="85"/>
      <w:bookmarkEnd w:id="86"/>
      <w:r>
        <w:rPr>
          <w:snapToGrid w:val="0"/>
        </w:rPr>
        <w:t xml:space="preserve"> </w:t>
      </w:r>
    </w:p>
    <w:p>
      <w:pPr>
        <w:pStyle w:val="Subsection"/>
        <w:rPr>
          <w:snapToGrid w:val="0"/>
        </w:rPr>
      </w:pPr>
      <w:r>
        <w:rPr>
          <w:snapToGrid w:val="0"/>
        </w:rPr>
        <w:tab/>
        <w:t>(1)</w:t>
      </w:r>
      <w:r>
        <w:rPr>
          <w:snapToGrid w:val="0"/>
        </w:rPr>
        <w:tab/>
        <w:t>Where the Commissioner is satisfied — </w:t>
      </w:r>
    </w:p>
    <w:p>
      <w:pPr>
        <w:pStyle w:val="Indenta"/>
        <w:rPr>
          <w:snapToGrid w:val="0"/>
        </w:rPr>
      </w:pPr>
      <w:r>
        <w:rPr>
          <w:snapToGrid w:val="0"/>
        </w:rPr>
        <w:tab/>
        <w:t>(a)</w:t>
      </w:r>
      <w:r>
        <w:rPr>
          <w:snapToGrid w:val="0"/>
        </w:rPr>
        <w:tab/>
        <w:t>that a person who is the holder of a licence, permit or approval under this Act —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 xml:space="preserve">[Section 20 amended by No. 90 of 1994 s. 4; No. 59 of 1996 s. 21.] </w:t>
      </w:r>
    </w:p>
    <w:p>
      <w:pPr>
        <w:pStyle w:val="Heading5"/>
        <w:spacing w:before="180"/>
        <w:rPr>
          <w:snapToGrid w:val="0"/>
        </w:rPr>
      </w:pPr>
      <w:bookmarkStart w:id="87" w:name="_Toc411064797"/>
      <w:bookmarkStart w:id="88" w:name="_Toc51574259"/>
      <w:bookmarkStart w:id="89" w:name="_Toc108854222"/>
      <w:r>
        <w:rPr>
          <w:rStyle w:val="CharSectno"/>
        </w:rPr>
        <w:t>21</w:t>
      </w:r>
      <w:r>
        <w:rPr>
          <w:snapToGrid w:val="0"/>
        </w:rPr>
        <w:t>.</w:t>
      </w:r>
      <w:r>
        <w:rPr>
          <w:snapToGrid w:val="0"/>
        </w:rPr>
        <w:tab/>
        <w:t>Restrictions, limitations and conditions</w:t>
      </w:r>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 xml:space="preserve">[Section 21 amended by No. 70 of 1987 s. 7; No. 59 of 1996 s. 22 and 50(3); No. 69 of 2004 s. 20.] </w:t>
      </w:r>
    </w:p>
    <w:p>
      <w:pPr>
        <w:pStyle w:val="Heading5"/>
        <w:spacing w:before="180"/>
        <w:rPr>
          <w:snapToGrid w:val="0"/>
        </w:rPr>
      </w:pPr>
      <w:bookmarkStart w:id="90" w:name="_Toc411064798"/>
      <w:bookmarkStart w:id="91" w:name="_Toc51574260"/>
      <w:bookmarkStart w:id="92" w:name="_Toc108854223"/>
      <w:r>
        <w:rPr>
          <w:rStyle w:val="CharSectno"/>
        </w:rPr>
        <w:t>21A</w:t>
      </w:r>
      <w:r>
        <w:rPr>
          <w:snapToGrid w:val="0"/>
        </w:rPr>
        <w:t>.</w:t>
      </w:r>
      <w:r>
        <w:rPr>
          <w:snapToGrid w:val="0"/>
        </w:rPr>
        <w:tab/>
        <w:t>Supervision and management</w:t>
      </w:r>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 xml:space="preserve">[Section 21A inserted by No. 59 of 1996 s. 23; amended by No. 84 of 2004 s. 80.] </w:t>
      </w:r>
    </w:p>
    <w:p>
      <w:pPr>
        <w:pStyle w:val="Heading5"/>
        <w:rPr>
          <w:snapToGrid w:val="0"/>
        </w:rPr>
      </w:pPr>
      <w:bookmarkStart w:id="93" w:name="_Toc411064799"/>
      <w:bookmarkStart w:id="94" w:name="_Toc51574261"/>
      <w:bookmarkStart w:id="95" w:name="_Toc108854224"/>
      <w:r>
        <w:rPr>
          <w:rStyle w:val="CharSectno"/>
        </w:rPr>
        <w:t>21B</w:t>
      </w:r>
      <w:r>
        <w:rPr>
          <w:snapToGrid w:val="0"/>
        </w:rPr>
        <w:t>.</w:t>
      </w:r>
      <w:r>
        <w:rPr>
          <w:snapToGrid w:val="0"/>
        </w:rPr>
        <w:tab/>
        <w:t>Offences by bodies corporate and partnerships</w:t>
      </w:r>
      <w:bookmarkEnd w:id="93"/>
      <w:bookmarkEnd w:id="94"/>
      <w:bookmarkEnd w:id="95"/>
      <w:r>
        <w:rPr>
          <w:snapToGrid w:val="0"/>
        </w:rPr>
        <w:t xml:space="preserve"> </w:t>
      </w:r>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 </w:t>
      </w:r>
    </w:p>
    <w:p>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 xml:space="preserve">[Section 21B inserted by No. 59 of 1996 s. 23; amended by No. 10 of 2001 s. 220; No. 84 of 2004 s. 80.] </w:t>
      </w:r>
    </w:p>
    <w:p>
      <w:pPr>
        <w:pStyle w:val="Heading5"/>
        <w:spacing w:before="180"/>
        <w:rPr>
          <w:snapToGrid w:val="0"/>
        </w:rPr>
      </w:pPr>
      <w:bookmarkStart w:id="96" w:name="_Toc108854225"/>
      <w:r>
        <w:rPr>
          <w:rStyle w:val="CharSectno"/>
        </w:rPr>
        <w:t>22</w:t>
      </w:r>
      <w:r>
        <w:rPr>
          <w:snapToGrid w:val="0"/>
        </w:rPr>
        <w:t>.</w:t>
      </w:r>
      <w:r>
        <w:rPr>
          <w:snapToGrid w:val="0"/>
        </w:rPr>
        <w:tab/>
        <w:t>Reviews</w:t>
      </w:r>
      <w:bookmarkEnd w:id="96"/>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decision</w:t>
      </w:r>
      <w:r>
        <w:rPr>
          <w:b/>
        </w:rPr>
        <w:t>”</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 xml:space="preserve">[Section 22 inserted by No. 59 of 1996 s. 24; amended by No. 55 of 2004 s. 369.] </w:t>
      </w:r>
    </w:p>
    <w:p>
      <w:pPr>
        <w:pStyle w:val="Ednotesection"/>
      </w:pPr>
      <w:bookmarkStart w:id="97" w:name="_Toc411064801"/>
      <w:bookmarkStart w:id="98" w:name="_Toc51574263"/>
      <w:r>
        <w:t>[</w:t>
      </w:r>
      <w:r>
        <w:rPr>
          <w:b/>
        </w:rPr>
        <w:t>22AA.</w:t>
      </w:r>
      <w:r>
        <w:tab/>
        <w:t xml:space="preserve">Repealed by No. 69 of 2004 s. 21(2).] </w:t>
      </w:r>
    </w:p>
    <w:p>
      <w:pPr>
        <w:pStyle w:val="Heading5"/>
        <w:rPr>
          <w:snapToGrid w:val="0"/>
        </w:rPr>
      </w:pPr>
      <w:bookmarkStart w:id="99" w:name="_Toc108854226"/>
      <w:r>
        <w:rPr>
          <w:rStyle w:val="CharSectno"/>
        </w:rPr>
        <w:t>22A</w:t>
      </w:r>
      <w:r>
        <w:rPr>
          <w:snapToGrid w:val="0"/>
        </w:rPr>
        <w:t>.</w:t>
      </w:r>
      <w:r>
        <w:rPr>
          <w:snapToGrid w:val="0"/>
        </w:rPr>
        <w:tab/>
        <w:t>Firearms Act Extract of Licence</w:t>
      </w:r>
      <w:bookmarkEnd w:id="97"/>
      <w:bookmarkEnd w:id="98"/>
      <w:bookmarkEnd w:id="99"/>
      <w:r>
        <w:rPr>
          <w:snapToGrid w:val="0"/>
        </w:rPr>
        <w:t xml:space="preserve"> </w:t>
      </w:r>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 </w:t>
      </w:r>
    </w:p>
    <w:p>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 xml:space="preserve">[Section 22A inserted by No. 59 of 1996 s. 41.] </w:t>
      </w:r>
    </w:p>
    <w:p>
      <w:pPr>
        <w:pStyle w:val="Heading5"/>
        <w:rPr>
          <w:snapToGrid w:val="0"/>
        </w:rPr>
      </w:pPr>
      <w:bookmarkStart w:id="100" w:name="_Toc411064802"/>
      <w:bookmarkStart w:id="101" w:name="_Toc51574264"/>
      <w:bookmarkStart w:id="102" w:name="_Toc108854227"/>
      <w:r>
        <w:rPr>
          <w:rStyle w:val="CharSectno"/>
        </w:rPr>
        <w:t>22B</w:t>
      </w:r>
      <w:r>
        <w:rPr>
          <w:snapToGrid w:val="0"/>
        </w:rPr>
        <w:t>.</w:t>
      </w:r>
      <w:r>
        <w:rPr>
          <w:snapToGrid w:val="0"/>
        </w:rPr>
        <w:tab/>
        <w:t>Return of Extract of Licence</w:t>
      </w:r>
      <w:bookmarkEnd w:id="100"/>
      <w:bookmarkEnd w:id="101"/>
      <w:bookmarkEnd w:id="102"/>
      <w:r>
        <w:rPr>
          <w:snapToGrid w:val="0"/>
        </w:rPr>
        <w:t xml:space="preserve"> </w:t>
      </w:r>
    </w:p>
    <w:p>
      <w:pPr>
        <w:pStyle w:val="Subsection"/>
        <w:spacing w:before="120"/>
        <w:rPr>
          <w:snapToGrid w:val="0"/>
        </w:rPr>
      </w:pPr>
      <w:r>
        <w:rPr>
          <w:snapToGrid w:val="0"/>
        </w:rPr>
        <w:tab/>
      </w:r>
      <w:r>
        <w:rPr>
          <w:snapToGrid w:val="0"/>
        </w:rPr>
        <w:tab/>
        <w:t>A person who was —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 xml:space="preserve">[Section 22B inserted by No. 59 of 1996 s. 41.] </w:t>
      </w:r>
    </w:p>
    <w:p>
      <w:pPr>
        <w:pStyle w:val="Heading5"/>
        <w:rPr>
          <w:snapToGrid w:val="0"/>
        </w:rPr>
      </w:pPr>
      <w:bookmarkStart w:id="103" w:name="_Toc411064803"/>
      <w:bookmarkStart w:id="104" w:name="_Toc51574265"/>
      <w:bookmarkStart w:id="105" w:name="_Toc108854228"/>
      <w:r>
        <w:rPr>
          <w:rStyle w:val="CharSectno"/>
        </w:rPr>
        <w:t>22C</w:t>
      </w:r>
      <w:r>
        <w:rPr>
          <w:snapToGrid w:val="0"/>
        </w:rPr>
        <w:t>.</w:t>
      </w:r>
      <w:r>
        <w:rPr>
          <w:snapToGrid w:val="0"/>
        </w:rPr>
        <w:tab/>
        <w:t>Offences relating to the Extract of Licence, licences, permits, etc.</w:t>
      </w:r>
      <w:bookmarkEnd w:id="103"/>
      <w:bookmarkEnd w:id="104"/>
      <w:bookmarkEnd w:id="105"/>
      <w:r>
        <w:rPr>
          <w:snapToGrid w:val="0"/>
        </w:rPr>
        <w:t xml:space="preserve"> </w:t>
      </w:r>
    </w:p>
    <w:p>
      <w:pPr>
        <w:pStyle w:val="Subsection"/>
        <w:rPr>
          <w:snapToGrid w:val="0"/>
        </w:rPr>
      </w:pPr>
      <w:r>
        <w:rPr>
          <w:snapToGrid w:val="0"/>
        </w:rPr>
        <w:tab/>
        <w:t>(1)</w:t>
      </w:r>
      <w:r>
        <w:rPr>
          <w:snapToGrid w:val="0"/>
        </w:rPr>
        <w:tab/>
        <w:t>Any person who, without lawful authority —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 xml:space="preserve">[Section 22C inserted by No. 59 of 1996 s. 41.] </w:t>
      </w:r>
    </w:p>
    <w:p>
      <w:pPr>
        <w:pStyle w:val="Heading5"/>
        <w:rPr>
          <w:snapToGrid w:val="0"/>
        </w:rPr>
      </w:pPr>
      <w:bookmarkStart w:id="106" w:name="_Toc411064804"/>
      <w:bookmarkStart w:id="107" w:name="_Toc51574266"/>
      <w:bookmarkStart w:id="108" w:name="_Toc108854229"/>
      <w:r>
        <w:rPr>
          <w:rStyle w:val="CharSectno"/>
        </w:rPr>
        <w:t>23</w:t>
      </w:r>
      <w:r>
        <w:rPr>
          <w:snapToGrid w:val="0"/>
        </w:rPr>
        <w:t>.</w:t>
      </w:r>
      <w:r>
        <w:rPr>
          <w:snapToGrid w:val="0"/>
        </w:rPr>
        <w:tab/>
        <w:t>General offences</w:t>
      </w:r>
      <w:bookmarkEnd w:id="106"/>
      <w:bookmarkEnd w:id="107"/>
      <w:bookmarkEnd w:id="108"/>
      <w:r>
        <w:rPr>
          <w:snapToGrid w:val="0"/>
        </w:rPr>
        <w:t xml:space="preserve"> </w:t>
      </w:r>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 xml:space="preserve">Summary conviction penalty: </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 xml:space="preserve">Summary conviction penalty: </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 xml:space="preserve">[Section 23 amended by No. 54 of 1978 s. 3; No. 3 of 1983 s. 3; No. 70 of 1987 s. 8; No. 59 of 1996 s. 25, 48 and 50(1), (3), (4) and (5); No. 50 of 2003 s. 62(3); No. 4 of 2004 s. 58; No. 69 of 2004 s. 7, 8(3), 22 and 31.] </w:t>
      </w:r>
    </w:p>
    <w:p>
      <w:pPr>
        <w:pStyle w:val="Heading5"/>
        <w:rPr>
          <w:snapToGrid w:val="0"/>
        </w:rPr>
      </w:pPr>
      <w:bookmarkStart w:id="109" w:name="_Toc411064805"/>
      <w:bookmarkStart w:id="110" w:name="_Toc51574267"/>
      <w:bookmarkStart w:id="111" w:name="_Toc108854230"/>
      <w:r>
        <w:rPr>
          <w:rStyle w:val="CharSectno"/>
        </w:rPr>
        <w:t>23A</w:t>
      </w:r>
      <w:r>
        <w:rPr>
          <w:snapToGrid w:val="0"/>
        </w:rPr>
        <w:t>.</w:t>
      </w:r>
      <w:r>
        <w:rPr>
          <w:snapToGrid w:val="0"/>
        </w:rPr>
        <w:tab/>
        <w:t>Limitation periods</w:t>
      </w:r>
      <w:bookmarkEnd w:id="109"/>
      <w:bookmarkEnd w:id="110"/>
      <w:bookmarkEnd w:id="111"/>
      <w:r>
        <w:rPr>
          <w:snapToGrid w:val="0"/>
        </w:rPr>
        <w:t xml:space="preserve"> </w:t>
      </w:r>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 xml:space="preserve">[Section 23A inserted by No. 59 of 1996 s. 26; amended by No. 69 of 2004 s. 23; No. 84 of 2004 s. 80.] </w:t>
      </w:r>
    </w:p>
    <w:p>
      <w:pPr>
        <w:pStyle w:val="Heading5"/>
        <w:rPr>
          <w:snapToGrid w:val="0"/>
        </w:rPr>
      </w:pPr>
      <w:bookmarkStart w:id="112" w:name="_Toc411064806"/>
      <w:bookmarkStart w:id="113" w:name="_Toc51574268"/>
      <w:bookmarkStart w:id="114" w:name="_Toc108854231"/>
      <w:r>
        <w:rPr>
          <w:rStyle w:val="CharSectno"/>
        </w:rPr>
        <w:t>23B</w:t>
      </w:r>
      <w:r>
        <w:rPr>
          <w:snapToGrid w:val="0"/>
        </w:rPr>
        <w:t>.</w:t>
      </w:r>
      <w:r>
        <w:rPr>
          <w:snapToGrid w:val="0"/>
        </w:rPr>
        <w:tab/>
        <w:t>Disclosure by doctors of certain information</w:t>
      </w:r>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pPr>
      <w:r>
        <w:tab/>
        <w:t>(3)</w:t>
      </w:r>
      <w:r>
        <w:tab/>
        <w:t xml:space="preserve">In this section — </w:t>
      </w:r>
    </w:p>
    <w:p>
      <w:pPr>
        <w:pStyle w:val="Defstart"/>
      </w:pPr>
      <w:r>
        <w:rPr>
          <w:b/>
        </w:rPr>
        <w:tab/>
        <w:t>“</w:t>
      </w:r>
      <w:r>
        <w:rPr>
          <w:rStyle w:val="CharDefText"/>
        </w:rPr>
        <w:t>health professional</w:t>
      </w:r>
      <w:r>
        <w:rPr>
          <w:b/>
        </w:rPr>
        <w:t>”</w:t>
      </w:r>
      <w:r>
        <w:t xml:space="preserve"> means — </w:t>
      </w:r>
    </w:p>
    <w:p>
      <w:pPr>
        <w:pStyle w:val="Defpara"/>
      </w:pPr>
      <w:r>
        <w:tab/>
        <w:t>(a)</w:t>
      </w:r>
      <w:r>
        <w:tab/>
        <w:t>a medical practitioner;</w:t>
      </w:r>
    </w:p>
    <w:p>
      <w:pPr>
        <w:pStyle w:val="Defpara"/>
      </w:pPr>
      <w:r>
        <w:tab/>
        <w:t>(b)</w:t>
      </w:r>
      <w:r>
        <w:tab/>
        <w:t xml:space="preserve">a registered psychologist as defined in the </w:t>
      </w:r>
      <w:r>
        <w:rPr>
          <w:i/>
        </w:rPr>
        <w:t>Psychologists Registration Act 1976</w:t>
      </w:r>
      <w:r>
        <w:t>;</w:t>
      </w:r>
    </w:p>
    <w:p>
      <w:pPr>
        <w:pStyle w:val="Defpara"/>
      </w:pPr>
      <w:r>
        <w:tab/>
        <w:t>(c)</w:t>
      </w:r>
      <w:r>
        <w:tab/>
        <w:t>a registered nurse;</w:t>
      </w:r>
    </w:p>
    <w:p>
      <w:pPr>
        <w:pStyle w:val="Defpara"/>
      </w:pPr>
      <w:r>
        <w:tab/>
        <w:t>(d)</w:t>
      </w:r>
      <w:r>
        <w:tab/>
        <w:t>a prescribed class of social worker; or</w:t>
      </w:r>
    </w:p>
    <w:p>
      <w:pPr>
        <w:pStyle w:val="Defpara"/>
      </w:pPr>
      <w:r>
        <w:tab/>
        <w:t>(e)</w:t>
      </w:r>
      <w:r>
        <w:tab/>
        <w:t>a prescribed class of professional counsellor;</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Footnotesection"/>
      </w:pPr>
      <w:r>
        <w:tab/>
        <w:t xml:space="preserve">[Section 23B inserted by No. 59 of 1996 s. 26; amended by No. 69 of 2004 s. 24.] </w:t>
      </w:r>
    </w:p>
    <w:p>
      <w:pPr>
        <w:pStyle w:val="Heading5"/>
      </w:pPr>
      <w:bookmarkStart w:id="115" w:name="_Toc108854232"/>
      <w:bookmarkStart w:id="116" w:name="_Toc411064807"/>
      <w:bookmarkStart w:id="117" w:name="_Toc51574269"/>
      <w:r>
        <w:rPr>
          <w:rStyle w:val="CharSectno"/>
        </w:rPr>
        <w:t>23BA</w:t>
      </w:r>
      <w:r>
        <w:t>.</w:t>
      </w:r>
      <w:r>
        <w:tab/>
        <w:t>Disclosure of certain information by approved club and organisation members</w:t>
      </w:r>
      <w:bookmarkEnd w:id="115"/>
    </w:p>
    <w:p>
      <w:pPr>
        <w:pStyle w:val="Subsection"/>
      </w:pPr>
      <w:r>
        <w:tab/>
        <w:t>(1)</w:t>
      </w:r>
      <w:r>
        <w:tab/>
        <w:t xml:space="preserve">If an officer of an approved shooting club or approved organisation is of the opinion that — </w:t>
      </w:r>
    </w:p>
    <w:p>
      <w:pPr>
        <w:pStyle w:val="Indenta"/>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 xml:space="preserve">In this section — </w:t>
      </w:r>
    </w:p>
    <w:p>
      <w:pPr>
        <w:pStyle w:val="Defstart"/>
      </w:pPr>
      <w:r>
        <w:rPr>
          <w:b/>
        </w:rPr>
        <w:tab/>
        <w:t>“</w:t>
      </w:r>
      <w:r>
        <w:rPr>
          <w:rStyle w:val="CharDefText"/>
        </w:rPr>
        <w:t>approved organisation</w:t>
      </w:r>
      <w:r>
        <w:rPr>
          <w:b/>
        </w:rPr>
        <w:t>”</w:t>
      </w:r>
      <w:r>
        <w:t xml:space="preserve"> means an organisation approved under section 11A(2)(b);</w:t>
      </w:r>
    </w:p>
    <w:p>
      <w:pPr>
        <w:pStyle w:val="Defstart"/>
      </w:pPr>
      <w:r>
        <w:rPr>
          <w:b/>
        </w:rPr>
        <w:tab/>
        <w:t>“</w:t>
      </w:r>
      <w:r>
        <w:rPr>
          <w:rStyle w:val="CharDefText"/>
        </w:rPr>
        <w:t>approved shooting club</w:t>
      </w:r>
      <w:r>
        <w:rPr>
          <w:b/>
        </w:rPr>
        <w:t>”</w:t>
      </w:r>
      <w:r>
        <w:t xml:space="preserve"> means a shooting club approved under section 11A(2)(a);</w:t>
      </w:r>
    </w:p>
    <w:p>
      <w:pPr>
        <w:pStyle w:val="Defstart"/>
      </w:pPr>
      <w:r>
        <w:rPr>
          <w:b/>
        </w:rPr>
        <w:tab/>
        <w:t>“</w:t>
      </w:r>
      <w:r>
        <w:rPr>
          <w:rStyle w:val="CharDefText"/>
        </w:rPr>
        <w:t>officer</w:t>
      </w:r>
      <w:r>
        <w:rPr>
          <w:b/>
        </w:rPr>
        <w:t>”</w:t>
      </w:r>
      <w:r>
        <w:t xml:space="preserve">, in relation to an approved shooting club or approved organisation —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118" w:name="_Toc108854233"/>
      <w:r>
        <w:rPr>
          <w:rStyle w:val="CharSectno"/>
        </w:rPr>
        <w:t>23C</w:t>
      </w:r>
      <w:r>
        <w:rPr>
          <w:snapToGrid w:val="0"/>
        </w:rPr>
        <w:t>.</w:t>
      </w:r>
      <w:r>
        <w:rPr>
          <w:snapToGrid w:val="0"/>
        </w:rPr>
        <w:tab/>
        <w:t>Persons concerned in commission of offences</w:t>
      </w:r>
      <w:bookmarkEnd w:id="116"/>
      <w:bookmarkEnd w:id="117"/>
      <w:bookmarkEnd w:id="118"/>
      <w:r>
        <w:rPr>
          <w:snapToGrid w:val="0"/>
        </w:rPr>
        <w:t xml:space="preserve"> </w:t>
      </w:r>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 xml:space="preserve">[Section 23C inserted by No. 59 of 1996 s. 49.] </w:t>
      </w:r>
    </w:p>
    <w:p>
      <w:pPr>
        <w:pStyle w:val="Ednotesection"/>
      </w:pPr>
      <w:r>
        <w:t>[</w:t>
      </w:r>
      <w:r>
        <w:rPr>
          <w:b/>
        </w:rPr>
        <w:t>23D.</w:t>
      </w:r>
      <w:r>
        <w:tab/>
        <w:t>Repealed by No. 4 of 2004 s. 58.]</w:t>
      </w:r>
    </w:p>
    <w:p>
      <w:pPr>
        <w:pStyle w:val="Heading5"/>
        <w:rPr>
          <w:snapToGrid w:val="0"/>
        </w:rPr>
      </w:pPr>
      <w:bookmarkStart w:id="119" w:name="_Toc411064809"/>
      <w:bookmarkStart w:id="120" w:name="_Toc51574271"/>
      <w:bookmarkStart w:id="121" w:name="_Toc108854234"/>
      <w:r>
        <w:rPr>
          <w:rStyle w:val="CharSectno"/>
        </w:rPr>
        <w:t>24</w:t>
      </w:r>
      <w:r>
        <w:rPr>
          <w:snapToGrid w:val="0"/>
        </w:rPr>
        <w:t>.</w:t>
      </w:r>
      <w:r>
        <w:rPr>
          <w:snapToGrid w:val="0"/>
        </w:rPr>
        <w:tab/>
        <w:t>Powers of police</w:t>
      </w:r>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A member of the Police Force may demand from any person in possession of a firearm or ammunition —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taken before a Justice to be dealt with according to law.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pPr>
        <w:pStyle w:val="Indenta"/>
        <w:rPr>
          <w:snapToGrid w:val="0"/>
        </w:rPr>
      </w:pPr>
      <w:r>
        <w:rPr>
          <w:snapToGrid w:val="0"/>
        </w:rPr>
        <w:tab/>
        <w:t>(a)</w:t>
      </w:r>
      <w:r>
        <w:rPr>
          <w:snapToGrid w:val="0"/>
        </w:rPr>
        <w:tab/>
        <w:t>is reasonably of the opinion that —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pPr>
        <w:pStyle w:val="Footnotesection"/>
      </w:pPr>
      <w:r>
        <w:tab/>
        <w:t xml:space="preserve">[Section 24 amended by No. 61 of 1976 s. 5; No. 54 of 1978 s. 4; No. 70 of 1987 s. 9; No. 90 of 1994 s. 5; No. 59 of 1996 s. 27, 42 and 50(2); No. 69 of 2004 s. 31.] </w:t>
      </w:r>
    </w:p>
    <w:p>
      <w:pPr>
        <w:pStyle w:val="Heading5"/>
        <w:rPr>
          <w:snapToGrid w:val="0"/>
        </w:rPr>
      </w:pPr>
      <w:bookmarkStart w:id="122" w:name="_Toc411064810"/>
      <w:bookmarkStart w:id="123" w:name="_Toc51574272"/>
      <w:bookmarkStart w:id="124" w:name="_Toc108854235"/>
      <w:r>
        <w:rPr>
          <w:rStyle w:val="CharSectno"/>
        </w:rPr>
        <w:t>25</w:t>
      </w:r>
      <w:r>
        <w:rPr>
          <w:snapToGrid w:val="0"/>
        </w:rPr>
        <w:t>.</w:t>
      </w:r>
      <w:r>
        <w:rPr>
          <w:snapToGrid w:val="0"/>
        </w:rPr>
        <w:tab/>
        <w:t>Constructive possession</w:t>
      </w:r>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125" w:name="_Toc411064811"/>
      <w:bookmarkStart w:id="126" w:name="_Toc51574273"/>
      <w:bookmarkStart w:id="127" w:name="_Toc108854236"/>
      <w:r>
        <w:rPr>
          <w:rStyle w:val="CharSectno"/>
        </w:rPr>
        <w:t>26</w:t>
      </w:r>
      <w:r>
        <w:rPr>
          <w:snapToGrid w:val="0"/>
        </w:rPr>
        <w:t>.</w:t>
      </w:r>
      <w:r>
        <w:rPr>
          <w:snapToGrid w:val="0"/>
        </w:rPr>
        <w:tab/>
        <w:t>Search warrant</w:t>
      </w:r>
      <w:bookmarkEnd w:id="125"/>
      <w:bookmarkEnd w:id="126"/>
      <w:bookmarkEnd w:id="127"/>
      <w:r>
        <w:rPr>
          <w:snapToGrid w:val="0"/>
        </w:rPr>
        <w:t xml:space="preserve"> </w:t>
      </w:r>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and take any such firearm, ammunition or other thing found before a Justice to be dealt with according to law.</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 xml:space="preserve">[Section 26 inserted by No. 59 of 1996 s. 28.] </w:t>
      </w:r>
    </w:p>
    <w:p>
      <w:pPr>
        <w:pStyle w:val="Ednotesection"/>
      </w:pPr>
      <w:r>
        <w:t>[</w:t>
      </w:r>
      <w:r>
        <w:rPr>
          <w:b/>
        </w:rPr>
        <w:t>27.</w:t>
      </w:r>
      <w:r>
        <w:tab/>
        <w:t xml:space="preserve">Repealed by No. 78 of 1995 s. 46.] </w:t>
      </w:r>
    </w:p>
    <w:p>
      <w:pPr>
        <w:pStyle w:val="Heading5"/>
        <w:rPr>
          <w:snapToGrid w:val="0"/>
        </w:rPr>
      </w:pPr>
      <w:bookmarkStart w:id="128" w:name="_Toc411064812"/>
      <w:bookmarkStart w:id="129" w:name="_Toc51574274"/>
      <w:bookmarkStart w:id="130" w:name="_Toc108854237"/>
      <w:r>
        <w:rPr>
          <w:rStyle w:val="CharSectno"/>
        </w:rPr>
        <w:t>27A</w:t>
      </w:r>
      <w:r>
        <w:rPr>
          <w:snapToGrid w:val="0"/>
        </w:rPr>
        <w:t>.</w:t>
      </w:r>
      <w:r>
        <w:rPr>
          <w:snapToGrid w:val="0"/>
        </w:rPr>
        <w:tab/>
        <w:t>Disqualification by court imposing restraining order</w:t>
      </w:r>
      <w:bookmarkEnd w:id="128"/>
      <w:bookmarkEnd w:id="129"/>
      <w:bookmarkEnd w:id="130"/>
      <w:r>
        <w:rPr>
          <w:snapToGrid w:val="0"/>
        </w:rPr>
        <w:t xml:space="preserve"> </w:t>
      </w:r>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violence restraining order</w:t>
      </w:r>
      <w:r>
        <w:rPr>
          <w:b/>
        </w:rPr>
        <w:t>”</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 xml:space="preserve">[Section 27A inserted by No. 59 of 1996 s. 29; amended by No. 19 of 1997 s. 84.] </w:t>
      </w:r>
    </w:p>
    <w:p>
      <w:pPr>
        <w:pStyle w:val="Heading5"/>
        <w:rPr>
          <w:snapToGrid w:val="0"/>
        </w:rPr>
      </w:pPr>
      <w:bookmarkStart w:id="131" w:name="_Toc411064813"/>
      <w:bookmarkStart w:id="132" w:name="_Toc51574275"/>
      <w:bookmarkStart w:id="133" w:name="_Toc108854238"/>
      <w:r>
        <w:rPr>
          <w:rStyle w:val="CharSectno"/>
        </w:rPr>
        <w:t>28</w:t>
      </w:r>
      <w:r>
        <w:rPr>
          <w:snapToGrid w:val="0"/>
        </w:rPr>
        <w:t>.</w:t>
      </w:r>
      <w:r>
        <w:rPr>
          <w:snapToGrid w:val="0"/>
        </w:rPr>
        <w:tab/>
        <w:t>Court may order forfeiture on conviction of offender</w:t>
      </w:r>
      <w:bookmarkEnd w:id="131"/>
      <w:bookmarkEnd w:id="132"/>
      <w:bookmarkEnd w:id="133"/>
      <w:r>
        <w:rPr>
          <w:snapToGrid w:val="0"/>
        </w:rPr>
        <w:t xml:space="preserve"> </w:t>
      </w:r>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 xml:space="preserve">[Section 28 amended by No. 59 of 1996 s. 30.] </w:t>
      </w:r>
    </w:p>
    <w:p>
      <w:pPr>
        <w:pStyle w:val="Heading5"/>
        <w:rPr>
          <w:snapToGrid w:val="0"/>
        </w:rPr>
      </w:pPr>
      <w:bookmarkStart w:id="134" w:name="_Toc411064814"/>
      <w:bookmarkStart w:id="135" w:name="_Toc51574276"/>
      <w:bookmarkStart w:id="136" w:name="_Toc108854239"/>
      <w:r>
        <w:rPr>
          <w:rStyle w:val="CharSectno"/>
        </w:rPr>
        <w:t>29</w:t>
      </w:r>
      <w:r>
        <w:rPr>
          <w:snapToGrid w:val="0"/>
        </w:rPr>
        <w:t>.</w:t>
      </w:r>
      <w:r>
        <w:rPr>
          <w:snapToGrid w:val="0"/>
        </w:rPr>
        <w:tab/>
        <w:t>Evidence</w:t>
      </w:r>
      <w:bookmarkEnd w:id="134"/>
      <w:bookmarkEnd w:id="135"/>
      <w:bookmarkEnd w:id="136"/>
      <w:r>
        <w:rPr>
          <w:snapToGrid w:val="0"/>
        </w:rPr>
        <w:t xml:space="preserve"> </w:t>
      </w:r>
    </w:p>
    <w:p>
      <w:pPr>
        <w:pStyle w:val="Subsection"/>
        <w:rPr>
          <w:snapToGrid w:val="0"/>
        </w:rPr>
      </w:pPr>
      <w:r>
        <w:rPr>
          <w:snapToGrid w:val="0"/>
        </w:rPr>
        <w:tab/>
        <w:t>(1)</w:t>
      </w:r>
      <w:r>
        <w:rPr>
          <w:snapToGrid w:val="0"/>
        </w:rPr>
        <w:tab/>
        <w:t>In a prosecution for an offence against this Act an averment in the prosecution notice —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 xml:space="preserve">[Section 29 amended by No. 59 of 1996 s. 31 and 43; No. 84 of 2004 s. 80.] </w:t>
      </w:r>
    </w:p>
    <w:p>
      <w:pPr>
        <w:pStyle w:val="Heading5"/>
        <w:spacing w:before="180"/>
        <w:rPr>
          <w:snapToGrid w:val="0"/>
        </w:rPr>
      </w:pPr>
      <w:bookmarkStart w:id="137" w:name="_Toc411064815"/>
      <w:bookmarkStart w:id="138" w:name="_Toc51574277"/>
      <w:bookmarkStart w:id="139" w:name="_Toc108854240"/>
      <w:r>
        <w:rPr>
          <w:rStyle w:val="CharSectno"/>
        </w:rPr>
        <w:t>30</w:t>
      </w:r>
      <w:r>
        <w:rPr>
          <w:snapToGrid w:val="0"/>
        </w:rPr>
        <w:t>.</w:t>
      </w:r>
      <w:r>
        <w:rPr>
          <w:snapToGrid w:val="0"/>
        </w:rPr>
        <w:tab/>
        <w:t>Ammunition sales</w:t>
      </w:r>
      <w:bookmarkEnd w:id="137"/>
      <w:bookmarkEnd w:id="138"/>
      <w:bookmarkEnd w:id="139"/>
      <w:r>
        <w:rPr>
          <w:snapToGrid w:val="0"/>
        </w:rPr>
        <w:t xml:space="preserve"> </w:t>
      </w:r>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pPr>
        <w:pStyle w:val="Indenta"/>
        <w:rPr>
          <w:snapToGrid w:val="0"/>
        </w:rPr>
      </w:pPr>
      <w:r>
        <w:rPr>
          <w:snapToGrid w:val="0"/>
        </w:rPr>
        <w:tab/>
        <w:t>(a)</w:t>
      </w:r>
      <w:r>
        <w:rPr>
          <w:snapToGrid w:val="0"/>
        </w:rPr>
        <w:tab/>
        <w:t>a relevant licence or permit, or evidence of —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 xml:space="preserve">a relevant authorisation;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 xml:space="preserve">[Section 30 amended by No. 54 of 1978 s. 5; No. 70 of 1987 s. 10; No. 59 of 1996 s. 32, 44 and 50(1); No. 69 of 2004 s. 31.] </w:t>
      </w:r>
    </w:p>
    <w:p>
      <w:pPr>
        <w:pStyle w:val="Heading5"/>
        <w:rPr>
          <w:snapToGrid w:val="0"/>
        </w:rPr>
      </w:pPr>
      <w:bookmarkStart w:id="140" w:name="_Toc411064816"/>
      <w:bookmarkStart w:id="141" w:name="_Toc51574278"/>
      <w:bookmarkStart w:id="142" w:name="_Toc108854241"/>
      <w:r>
        <w:rPr>
          <w:rStyle w:val="CharSectno"/>
        </w:rPr>
        <w:t>30A</w:t>
      </w:r>
      <w:r>
        <w:rPr>
          <w:snapToGrid w:val="0"/>
        </w:rPr>
        <w:t>.</w:t>
      </w:r>
      <w:r>
        <w:rPr>
          <w:snapToGrid w:val="0"/>
        </w:rPr>
        <w:tab/>
        <w:t>Sale and disposal of firearms</w:t>
      </w:r>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 xml:space="preserve">[Section 30A inserted by No. 59 of 1996 s. 33; amended by No. 69 of 2004 s. 31.] </w:t>
      </w:r>
    </w:p>
    <w:p>
      <w:pPr>
        <w:pStyle w:val="Heading5"/>
        <w:keepNext w:val="0"/>
        <w:keepLines w:val="0"/>
        <w:rPr>
          <w:snapToGrid w:val="0"/>
        </w:rPr>
      </w:pPr>
      <w:bookmarkStart w:id="143" w:name="_Toc411064817"/>
      <w:bookmarkStart w:id="144" w:name="_Toc51574279"/>
      <w:bookmarkStart w:id="145" w:name="_Toc108854242"/>
      <w:r>
        <w:rPr>
          <w:rStyle w:val="CharSectno"/>
        </w:rPr>
        <w:t>30B</w:t>
      </w:r>
      <w:r>
        <w:rPr>
          <w:snapToGrid w:val="0"/>
        </w:rPr>
        <w:t>.</w:t>
      </w:r>
      <w:r>
        <w:rPr>
          <w:snapToGrid w:val="0"/>
        </w:rPr>
        <w:tab/>
        <w:t>Loss, theft, destruction, or disposal out of the State, to be reported</w:t>
      </w:r>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 xml:space="preserve">[Section 30B inserted by No. 59 of 1996 s. 33; amended by No. 69 of 2004 s. 31.] </w:t>
      </w:r>
    </w:p>
    <w:p>
      <w:pPr>
        <w:pStyle w:val="Heading5"/>
        <w:rPr>
          <w:snapToGrid w:val="0"/>
        </w:rPr>
      </w:pPr>
      <w:bookmarkStart w:id="146" w:name="_Toc411064818"/>
      <w:bookmarkStart w:id="147" w:name="_Toc51574280"/>
      <w:bookmarkStart w:id="148" w:name="_Toc108854243"/>
      <w:r>
        <w:rPr>
          <w:rStyle w:val="CharSectno"/>
        </w:rPr>
        <w:t>31</w:t>
      </w:r>
      <w:r>
        <w:rPr>
          <w:snapToGrid w:val="0"/>
        </w:rPr>
        <w:t>.</w:t>
      </w:r>
      <w:r>
        <w:rPr>
          <w:snapToGrid w:val="0"/>
        </w:rPr>
        <w:tab/>
        <w:t>Records</w:t>
      </w:r>
      <w:bookmarkEnd w:id="146"/>
      <w:bookmarkEnd w:id="147"/>
      <w:bookmarkEnd w:id="148"/>
      <w:r>
        <w:rPr>
          <w:snapToGrid w:val="0"/>
        </w:rPr>
        <w:t xml:space="preserve"> </w:t>
      </w:r>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 xml:space="preserve">[Section 31 amended by No. 59 of 1996 s. 34; No. 69 of 2004 s. 27 and 31.] </w:t>
      </w:r>
    </w:p>
    <w:p>
      <w:pPr>
        <w:pStyle w:val="Heading5"/>
        <w:rPr>
          <w:snapToGrid w:val="0"/>
        </w:rPr>
      </w:pPr>
      <w:bookmarkStart w:id="149" w:name="_Toc411064819"/>
      <w:bookmarkStart w:id="150" w:name="_Toc51574281"/>
      <w:bookmarkStart w:id="151" w:name="_Toc108854244"/>
      <w:r>
        <w:rPr>
          <w:rStyle w:val="CharSectno"/>
        </w:rPr>
        <w:t>32</w:t>
      </w:r>
      <w:r>
        <w:rPr>
          <w:snapToGrid w:val="0"/>
        </w:rPr>
        <w:t>.</w:t>
      </w:r>
      <w:r>
        <w:rPr>
          <w:snapToGrid w:val="0"/>
        </w:rPr>
        <w:tab/>
        <w:t>Safe keeping by traders</w:t>
      </w:r>
      <w:bookmarkEnd w:id="149"/>
      <w:bookmarkEnd w:id="150"/>
      <w:bookmarkEnd w:id="151"/>
      <w:r>
        <w:rPr>
          <w:snapToGrid w:val="0"/>
        </w:rPr>
        <w:t xml:space="preserve"> </w:t>
      </w:r>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 xml:space="preserve">Penalty: </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 xml:space="preserve">[Section 32 amended by No. 59 of 1996 s. 35; No. 69 of 2004 s. 28.] </w:t>
      </w:r>
    </w:p>
    <w:p>
      <w:pPr>
        <w:pStyle w:val="Heading5"/>
        <w:rPr>
          <w:snapToGrid w:val="0"/>
        </w:rPr>
      </w:pPr>
      <w:bookmarkStart w:id="152" w:name="_Toc411064820"/>
      <w:bookmarkStart w:id="153" w:name="_Toc51574282"/>
      <w:bookmarkStart w:id="154" w:name="_Toc108854245"/>
      <w:r>
        <w:rPr>
          <w:rStyle w:val="CharSectno"/>
        </w:rPr>
        <w:t>33</w:t>
      </w:r>
      <w:r>
        <w:rPr>
          <w:snapToGrid w:val="0"/>
        </w:rPr>
        <w:t>.</w:t>
      </w:r>
      <w:r>
        <w:rPr>
          <w:snapToGrid w:val="0"/>
        </w:rPr>
        <w:tab/>
        <w:t>Disposal of firearms</w:t>
      </w:r>
      <w:bookmarkEnd w:id="152"/>
      <w:bookmarkEnd w:id="153"/>
      <w:bookmarkEnd w:id="154"/>
      <w:r>
        <w:rPr>
          <w:snapToGrid w:val="0"/>
        </w:rPr>
        <w:t xml:space="preserve"> </w:t>
      </w:r>
    </w:p>
    <w:p>
      <w:pPr>
        <w:pStyle w:val="Subsection"/>
        <w:rPr>
          <w:snapToGrid w:val="0"/>
        </w:rPr>
      </w:pPr>
      <w:r>
        <w:rPr>
          <w:snapToGrid w:val="0"/>
        </w:rPr>
        <w:tab/>
        <w:t>(1)</w:t>
      </w:r>
      <w:r>
        <w:rPr>
          <w:snapToGrid w:val="0"/>
        </w:rPr>
        <w:tab/>
        <w:t>Where any firearm or ammunition is in the possession of a member of the Police Force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Fund.</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 xml:space="preserve">[Section 33 amended by No. 6 of 1993 s. 11; No. 73 of 1994 s. 4; No. 49 of 1996 s. 64; No. 59 of 1996 s. 36.] </w:t>
      </w:r>
    </w:p>
    <w:p>
      <w:pPr>
        <w:pStyle w:val="Heading5"/>
        <w:rPr>
          <w:snapToGrid w:val="0"/>
        </w:rPr>
      </w:pPr>
      <w:bookmarkStart w:id="155" w:name="_Toc411064821"/>
      <w:bookmarkStart w:id="156" w:name="_Toc51574283"/>
      <w:bookmarkStart w:id="157" w:name="_Toc108854246"/>
      <w:r>
        <w:rPr>
          <w:rStyle w:val="CharSectno"/>
        </w:rPr>
        <w:t>34</w:t>
      </w:r>
      <w:r>
        <w:rPr>
          <w:snapToGrid w:val="0"/>
        </w:rPr>
        <w:t>.</w:t>
      </w:r>
      <w:r>
        <w:rPr>
          <w:snapToGrid w:val="0"/>
        </w:rPr>
        <w:tab/>
        <w:t>Regulations</w:t>
      </w:r>
      <w:bookmarkEnd w:id="155"/>
      <w:bookmarkEnd w:id="156"/>
      <w:bookmarkEnd w:id="157"/>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the contravention of any regulation.</w:t>
      </w:r>
    </w:p>
    <w:p>
      <w:pPr>
        <w:pStyle w:val="Footnotesection"/>
      </w:pPr>
      <w:r>
        <w:tab/>
        <w:t xml:space="preserve">[Section 34 amended by No. 54 of 1978 s. 6; No. 70 of 1987 s. 11; No. 59 of 1996 s. 37 and 50(1); No. 55 of 2004 s. 370; No. 69 of 2004 s. 29 and 31.] </w:t>
      </w:r>
    </w:p>
    <w:p>
      <w:pPr>
        <w:pStyle w:val="yEdnoteschedule"/>
        <w:keepNext/>
        <w:rPr>
          <w:sz w:val="24"/>
        </w:rPr>
      </w:pPr>
      <w:bookmarkStart w:id="158" w:name="_Toc72634770"/>
      <w:bookmarkStart w:id="159" w:name="_Toc72898964"/>
      <w:bookmarkStart w:id="160" w:name="_Toc89519543"/>
      <w:bookmarkStart w:id="161" w:name="_Toc90434421"/>
      <w:bookmarkStart w:id="162" w:name="_Toc90436375"/>
      <w:bookmarkStart w:id="163" w:name="_Toc91392013"/>
      <w:bookmarkStart w:id="164" w:name="_Toc92522866"/>
      <w:bookmarkStart w:id="165" w:name="_Toc94589501"/>
      <w:bookmarkStart w:id="166"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yEdnoteschedule"/>
        <w:keepNext/>
        <w:rPr>
          <w:sz w:val="24"/>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2"/>
      </w:pPr>
      <w:bookmarkStart w:id="167" w:name="_Toc72634793"/>
      <w:bookmarkStart w:id="168" w:name="_Toc72898987"/>
      <w:bookmarkStart w:id="169" w:name="_Toc89519566"/>
      <w:bookmarkStart w:id="170" w:name="_Toc90434444"/>
      <w:bookmarkStart w:id="171" w:name="_Toc90436398"/>
      <w:bookmarkStart w:id="172" w:name="_Toc91392036"/>
      <w:bookmarkStart w:id="173" w:name="_Toc92522873"/>
      <w:bookmarkStart w:id="174" w:name="_Toc94589502"/>
      <w:bookmarkStart w:id="175" w:name="_Toc94590487"/>
      <w:bookmarkStart w:id="176" w:name="_Toc97110734"/>
      <w:bookmarkStart w:id="177" w:name="_Toc102295883"/>
      <w:bookmarkStart w:id="178" w:name="_Toc103065865"/>
      <w:bookmarkStart w:id="179" w:name="_Toc103420291"/>
      <w:bookmarkStart w:id="180" w:name="_Toc103422013"/>
      <w:bookmarkStart w:id="181" w:name="_Toc103479951"/>
      <w:bookmarkStart w:id="182" w:name="_Toc103500195"/>
      <w:bookmarkStart w:id="183" w:name="_Toc103501501"/>
      <w:bookmarkStart w:id="184" w:name="_Toc106682647"/>
      <w:bookmarkStart w:id="185" w:name="_Toc107053721"/>
      <w:bookmarkStart w:id="186" w:name="_Toc107053780"/>
      <w:bookmarkStart w:id="187" w:name="_Toc108240657"/>
      <w:bookmarkStart w:id="188" w:name="_Toc108240971"/>
      <w:bookmarkStart w:id="189" w:name="_Toc108241030"/>
      <w:bookmarkStart w:id="190" w:name="_Toc108854247"/>
      <w:bookmarkEnd w:id="158"/>
      <w:bookmarkEnd w:id="159"/>
      <w:bookmarkEnd w:id="160"/>
      <w:bookmarkEnd w:id="161"/>
      <w:bookmarkEnd w:id="162"/>
      <w:bookmarkEnd w:id="163"/>
      <w:bookmarkEnd w:id="164"/>
      <w:bookmarkEnd w:id="165"/>
      <w:bookmarkEnd w:id="166"/>
      <w:r>
        <w:t>Notes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1" w:name="_Toc108854248"/>
      <w:r>
        <w:rPr>
          <w:snapToGrid w:val="0"/>
        </w:rPr>
        <w:t>Compilation table</w:t>
      </w:r>
      <w:bookmarkEnd w:id="19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Firearms Act 1973</w:t>
            </w:r>
          </w:p>
        </w:tc>
        <w:tc>
          <w:tcPr>
            <w:tcW w:w="1134" w:type="dxa"/>
          </w:tcPr>
          <w:p>
            <w:pPr>
              <w:pStyle w:val="nTable"/>
              <w:spacing w:after="40"/>
              <w:rPr>
                <w:sz w:val="19"/>
              </w:rPr>
            </w:pPr>
            <w:r>
              <w:rPr>
                <w:sz w:val="19"/>
              </w:rPr>
              <w:t>36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1 Jul 1974 (see s. 2 and </w:t>
            </w:r>
            <w:r>
              <w:rPr>
                <w:i/>
                <w:sz w:val="19"/>
              </w:rPr>
              <w:t>Gazette</w:t>
            </w:r>
            <w:r>
              <w:rPr>
                <w:sz w:val="19"/>
              </w:rPr>
              <w:t xml:space="preserve"> 29 Mar 1974 p. 1027)</w:t>
            </w:r>
          </w:p>
        </w:tc>
      </w:tr>
      <w:tr>
        <w:trPr>
          <w:cantSplit/>
        </w:trPr>
        <w:tc>
          <w:tcPr>
            <w:tcW w:w="2268" w:type="dxa"/>
          </w:tcPr>
          <w:p>
            <w:pPr>
              <w:pStyle w:val="nTable"/>
              <w:spacing w:after="40"/>
              <w:ind w:right="113"/>
              <w:rPr>
                <w:sz w:val="19"/>
              </w:rPr>
            </w:pPr>
            <w:r>
              <w:rPr>
                <w:i/>
                <w:sz w:val="19"/>
              </w:rPr>
              <w:t>Firearms Act Amendment Act 1976</w:t>
            </w:r>
          </w:p>
        </w:tc>
        <w:tc>
          <w:tcPr>
            <w:tcW w:w="1134" w:type="dxa"/>
          </w:tcPr>
          <w:p>
            <w:pPr>
              <w:pStyle w:val="nTable"/>
              <w:spacing w:after="40"/>
              <w:rPr>
                <w:sz w:val="19"/>
              </w:rPr>
            </w:pPr>
            <w:r>
              <w:rPr>
                <w:sz w:val="19"/>
              </w:rPr>
              <w:t>61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Firearms Act Amendment Act 1978</w:t>
            </w:r>
          </w:p>
        </w:tc>
        <w:tc>
          <w:tcPr>
            <w:tcW w:w="1134" w:type="dxa"/>
          </w:tcPr>
          <w:p>
            <w:pPr>
              <w:pStyle w:val="nTable"/>
              <w:spacing w:after="40"/>
              <w:rPr>
                <w:sz w:val="19"/>
              </w:rPr>
            </w:pPr>
            <w:r>
              <w:rPr>
                <w:sz w:val="19"/>
              </w:rPr>
              <w:t>54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6 Sep 1978</w:t>
            </w:r>
          </w:p>
        </w:tc>
      </w:tr>
      <w:tr>
        <w:trPr>
          <w:cantSplit/>
        </w:trPr>
        <w:tc>
          <w:tcPr>
            <w:tcW w:w="2268" w:type="dxa"/>
          </w:tcPr>
          <w:p>
            <w:pPr>
              <w:pStyle w:val="nTable"/>
              <w:spacing w:after="40"/>
              <w:ind w:right="113"/>
              <w:rPr>
                <w:sz w:val="19"/>
              </w:rPr>
            </w:pPr>
            <w:r>
              <w:rPr>
                <w:i/>
                <w:sz w:val="19"/>
              </w:rPr>
              <w:t>Firearms Amendment Act 1980</w:t>
            </w:r>
          </w:p>
        </w:tc>
        <w:tc>
          <w:tcPr>
            <w:tcW w:w="1134" w:type="dxa"/>
          </w:tcPr>
          <w:p>
            <w:pPr>
              <w:pStyle w:val="nTable"/>
              <w:spacing w:after="40"/>
              <w:rPr>
                <w:sz w:val="19"/>
              </w:rPr>
            </w:pPr>
            <w:r>
              <w:rPr>
                <w:sz w:val="19"/>
              </w:rPr>
              <w:t>35 of 1980</w:t>
            </w:r>
          </w:p>
        </w:tc>
        <w:tc>
          <w:tcPr>
            <w:tcW w:w="1134" w:type="dxa"/>
          </w:tcPr>
          <w:p>
            <w:pPr>
              <w:pStyle w:val="nTable"/>
              <w:spacing w:after="40"/>
              <w:rPr>
                <w:sz w:val="19"/>
              </w:rPr>
            </w:pPr>
            <w:r>
              <w:rPr>
                <w:sz w:val="19"/>
              </w:rPr>
              <w:t>5 Nov 1980</w:t>
            </w:r>
          </w:p>
        </w:tc>
        <w:tc>
          <w:tcPr>
            <w:tcW w:w="2551" w:type="dxa"/>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Firearms Amendment Act 1983</w:t>
            </w:r>
          </w:p>
        </w:tc>
        <w:tc>
          <w:tcPr>
            <w:tcW w:w="1134" w:type="dxa"/>
          </w:tcPr>
          <w:p>
            <w:pPr>
              <w:pStyle w:val="nTable"/>
              <w:spacing w:after="40"/>
              <w:rPr>
                <w:sz w:val="19"/>
              </w:rPr>
            </w:pPr>
            <w:r>
              <w:rPr>
                <w:sz w:val="19"/>
              </w:rPr>
              <w:t>3 of 1983</w:t>
            </w:r>
          </w:p>
        </w:tc>
        <w:tc>
          <w:tcPr>
            <w:tcW w:w="1134" w:type="dxa"/>
          </w:tcPr>
          <w:p>
            <w:pPr>
              <w:pStyle w:val="nTable"/>
              <w:spacing w:after="40"/>
              <w:rPr>
                <w:sz w:val="19"/>
              </w:rPr>
            </w:pPr>
            <w:r>
              <w:rPr>
                <w:sz w:val="19"/>
              </w:rPr>
              <w:t>1 Aug 1983</w:t>
            </w:r>
          </w:p>
        </w:tc>
        <w:tc>
          <w:tcPr>
            <w:tcW w:w="2551" w:type="dxa"/>
          </w:tcPr>
          <w:p>
            <w:pPr>
              <w:pStyle w:val="nTable"/>
              <w:spacing w:after="40"/>
              <w:rPr>
                <w:sz w:val="19"/>
              </w:rPr>
            </w:pPr>
            <w:r>
              <w:rPr>
                <w:sz w:val="19"/>
              </w:rPr>
              <w:t>1 Aug 1983</w:t>
            </w:r>
          </w:p>
        </w:tc>
      </w:tr>
      <w:tr>
        <w:trPr>
          <w:cantSplit/>
        </w:trPr>
        <w:tc>
          <w:tcPr>
            <w:tcW w:w="2268" w:type="dxa"/>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Firearms Amendment Act 1987</w:t>
            </w:r>
          </w:p>
        </w:tc>
        <w:tc>
          <w:tcPr>
            <w:tcW w:w="1134" w:type="dxa"/>
          </w:tcPr>
          <w:p>
            <w:pPr>
              <w:pStyle w:val="nTable"/>
              <w:spacing w:after="40"/>
              <w:rPr>
                <w:sz w:val="19"/>
              </w:rPr>
            </w:pPr>
            <w:r>
              <w:rPr>
                <w:sz w:val="19"/>
              </w:rPr>
              <w:t>70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 xml:space="preserve">1 Oct 1989 (see s. 2 and </w:t>
            </w:r>
            <w:r>
              <w:rPr>
                <w:i/>
                <w:sz w:val="19"/>
              </w:rPr>
              <w:t>Gazette</w:t>
            </w:r>
            <w:r>
              <w:rPr>
                <w:sz w:val="19"/>
              </w:rPr>
              <w:t xml:space="preserve"> 29 Sep 1989 p. 3665)</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Firearms Amendment Act 1994</w:t>
            </w:r>
          </w:p>
        </w:tc>
        <w:tc>
          <w:tcPr>
            <w:tcW w:w="1134" w:type="dxa"/>
          </w:tcPr>
          <w:p>
            <w:pPr>
              <w:pStyle w:val="nTable"/>
              <w:spacing w:after="40"/>
              <w:rPr>
                <w:sz w:val="19"/>
              </w:rPr>
            </w:pPr>
            <w:r>
              <w:rPr>
                <w:sz w:val="19"/>
              </w:rPr>
              <w:t>90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33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Security and Related Activities (Control) Act 1996 </w:t>
            </w:r>
            <w:r>
              <w:rPr>
                <w:sz w:val="19"/>
              </w:rPr>
              <w:t>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8" w:type="dxa"/>
          </w:tcPr>
          <w:p>
            <w:pPr>
              <w:pStyle w:val="nTable"/>
              <w:spacing w:after="40"/>
              <w:ind w:right="113"/>
              <w:rPr>
                <w:sz w:val="19"/>
              </w:rPr>
            </w:pPr>
            <w:r>
              <w:rPr>
                <w:i/>
                <w:sz w:val="19"/>
              </w:rPr>
              <w:t xml:space="preserve">Restraining Orders Act 1997 </w:t>
            </w:r>
            <w:r>
              <w:rPr>
                <w:sz w:val="19"/>
              </w:rPr>
              <w:t>s. 84</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Weapons Act 1999 </w:t>
            </w:r>
            <w:r>
              <w:rPr>
                <w:sz w:val="19"/>
              </w:rPr>
              <w:t>s. 21</w:t>
            </w:r>
          </w:p>
        </w:tc>
        <w:tc>
          <w:tcPr>
            <w:tcW w:w="1134" w:type="dxa"/>
          </w:tcPr>
          <w:p>
            <w:pPr>
              <w:pStyle w:val="nTable"/>
              <w:spacing w:after="40"/>
              <w:rPr>
                <w:sz w:val="19"/>
              </w:rPr>
            </w:pPr>
            <w:r>
              <w:rPr>
                <w:sz w:val="19"/>
              </w:rPr>
              <w:t>18 of 1999</w:t>
            </w:r>
          </w:p>
        </w:tc>
        <w:tc>
          <w:tcPr>
            <w:tcW w:w="1134" w:type="dxa"/>
          </w:tcPr>
          <w:p>
            <w:pPr>
              <w:pStyle w:val="nTable"/>
              <w:spacing w:after="40"/>
              <w:rPr>
                <w:sz w:val="19"/>
              </w:rPr>
            </w:pPr>
            <w:r>
              <w:rPr>
                <w:sz w:val="19"/>
              </w:rPr>
              <w:t>16 Jun 1999</w:t>
            </w:r>
          </w:p>
        </w:tc>
        <w:tc>
          <w:tcPr>
            <w:tcW w:w="2551" w:type="dxa"/>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Firearms Amendment Act 2004</w:t>
            </w:r>
            <w:r>
              <w:rPr>
                <w:sz w:val="19"/>
                <w:vertAlign w:val="superscript"/>
              </w:rPr>
              <w:t> 7, 8</w:t>
            </w:r>
          </w:p>
        </w:tc>
        <w:tc>
          <w:tcPr>
            <w:tcW w:w="1134" w:type="dxa"/>
          </w:tcPr>
          <w:p>
            <w:pPr>
              <w:pStyle w:val="nTable"/>
              <w:spacing w:after="40"/>
              <w:rPr>
                <w:sz w:val="19"/>
              </w:rPr>
            </w:pPr>
            <w:r>
              <w:rPr>
                <w:sz w:val="19"/>
              </w:rPr>
              <w:t>69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192" w:name="_Hlt507390729"/>
      <w:bookmarkEnd w:id="19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3" w:name="_Toc108854249"/>
      <w:r>
        <w:rPr>
          <w:snapToGrid w:val="0"/>
        </w:rPr>
        <w:t>Provisions that have not come into operation</w:t>
      </w:r>
      <w:bookmarkEnd w:id="193"/>
    </w:p>
    <w:tbl>
      <w:tblPr>
        <w:tblW w:w="7192"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410"/>
        <w:gridCol w:w="1134"/>
        <w:gridCol w:w="1134"/>
        <w:gridCol w:w="2514"/>
      </w:tblGrid>
      <w:tr>
        <w:tc>
          <w:tcPr>
            <w:tcW w:w="2410" w:type="dxa"/>
            <w:tcBorders>
              <w:top w:val="single" w:sz="8" w:space="0" w:color="auto"/>
              <w:bottom w:val="single" w:sz="8" w:space="0" w:color="auto"/>
            </w:tcBorders>
          </w:tcPr>
          <w:p>
            <w:pPr>
              <w:pStyle w:val="nTable"/>
              <w:spacing w:after="40"/>
              <w:rPr>
                <w:b/>
                <w:snapToGrid w:val="0"/>
                <w:lang w:val="en-US"/>
              </w:rPr>
            </w:pPr>
            <w:r>
              <w:rPr>
                <w:b/>
                <w:snapToGrid w:val="0"/>
                <w:lang w:val="en-US"/>
              </w:rPr>
              <w:t>Short title</w:t>
            </w:r>
          </w:p>
        </w:tc>
        <w:tc>
          <w:tcPr>
            <w:tcW w:w="1134" w:type="dxa"/>
            <w:tcBorders>
              <w:top w:val="single" w:sz="8" w:space="0" w:color="auto"/>
              <w:bottom w:val="single" w:sz="8" w:space="0" w:color="auto"/>
            </w:tcBorders>
          </w:tcPr>
          <w:p>
            <w:pPr>
              <w:pStyle w:val="nTable"/>
              <w:spacing w:after="40"/>
              <w:rPr>
                <w:b/>
                <w:snapToGrid w:val="0"/>
                <w:lang w:val="en-US"/>
              </w:rPr>
            </w:pPr>
            <w:r>
              <w:rPr>
                <w:b/>
                <w:snapToGrid w:val="0"/>
                <w:lang w:val="en-US"/>
              </w:rPr>
              <w:t>Number</w:t>
            </w:r>
            <w:r>
              <w:rPr>
                <w:b/>
                <w:snapToGrid w:val="0"/>
                <w:lang w:val="en-US"/>
              </w:rPr>
              <w:br/>
              <w:t>and year</w:t>
            </w:r>
          </w:p>
        </w:tc>
        <w:tc>
          <w:tcPr>
            <w:tcW w:w="1134" w:type="dxa"/>
            <w:tcBorders>
              <w:top w:val="single" w:sz="8" w:space="0" w:color="auto"/>
              <w:bottom w:val="single" w:sz="8" w:space="0" w:color="auto"/>
            </w:tcBorders>
          </w:tcPr>
          <w:p>
            <w:pPr>
              <w:pStyle w:val="nTable"/>
              <w:spacing w:after="40"/>
              <w:rPr>
                <w:b/>
                <w:snapToGrid w:val="0"/>
                <w:lang w:val="en-US"/>
              </w:rPr>
            </w:pPr>
            <w:r>
              <w:rPr>
                <w:b/>
                <w:snapToGrid w:val="0"/>
                <w:lang w:val="en-US"/>
              </w:rPr>
              <w:t>Assent</w:t>
            </w:r>
          </w:p>
        </w:tc>
        <w:tc>
          <w:tcPr>
            <w:tcW w:w="2514" w:type="dxa"/>
            <w:tcBorders>
              <w:top w:val="single" w:sz="8" w:space="0" w:color="auto"/>
              <w:bottom w:val="single" w:sz="8" w:space="0" w:color="auto"/>
            </w:tcBorders>
          </w:tcPr>
          <w:p>
            <w:pPr>
              <w:pStyle w:val="nTable"/>
              <w:spacing w:after="40"/>
              <w:rPr>
                <w:b/>
                <w:snapToGrid w:val="0"/>
                <w:lang w:val="en-US"/>
              </w:rPr>
            </w:pPr>
            <w:r>
              <w:rPr>
                <w:b/>
                <w:snapToGrid w:val="0"/>
                <w:lang w:val="en-US"/>
              </w:rPr>
              <w:t>Commencement</w:t>
            </w:r>
          </w:p>
        </w:tc>
      </w:tr>
      <w:tr>
        <w:tc>
          <w:tcPr>
            <w:tcW w:w="2410"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14"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410" w:type="dxa"/>
            <w:tcBorders>
              <w:top w:val="nil"/>
              <w:bottom w:val="single" w:sz="4" w:space="0" w:color="auto"/>
            </w:tcBorders>
          </w:tcPr>
          <w:p>
            <w:pPr>
              <w:pStyle w:val="nTable"/>
              <w:spacing w:after="40"/>
              <w:rPr>
                <w:i/>
                <w:snapToGrid w:val="0"/>
                <w:sz w:val="19"/>
                <w:lang w:val="en-US"/>
              </w:rPr>
            </w:pPr>
            <w:r>
              <w:rPr>
                <w:i/>
                <w:noProof/>
                <w:snapToGrid w:val="0"/>
              </w:rPr>
              <w:t>Psychologists Act 2005</w:t>
            </w:r>
            <w:r>
              <w:rPr>
                <w:iCs/>
                <w:noProof/>
                <w:snapToGrid w:val="0"/>
              </w:rPr>
              <w:t xml:space="preserve"> s. 108 </w:t>
            </w:r>
            <w:r>
              <w:rPr>
                <w:iCs/>
                <w:noProof/>
                <w:snapToGrid w:val="0"/>
                <w:vertAlign w:val="superscript"/>
              </w:rPr>
              <w:t>11</w:t>
            </w:r>
          </w:p>
        </w:tc>
        <w:tc>
          <w:tcPr>
            <w:tcW w:w="1134" w:type="dxa"/>
            <w:tcBorders>
              <w:top w:val="nil"/>
              <w:bottom w:val="single" w:sz="4" w:space="0" w:color="auto"/>
            </w:tcBorders>
          </w:tcPr>
          <w:p>
            <w:pPr>
              <w:pStyle w:val="nTable"/>
              <w:spacing w:after="40"/>
              <w:rPr>
                <w:snapToGrid w:val="0"/>
                <w:sz w:val="19"/>
                <w:lang w:val="en-US"/>
              </w:rPr>
            </w:pPr>
            <w:r>
              <w:t>28 of 2005</w:t>
            </w:r>
          </w:p>
        </w:tc>
        <w:tc>
          <w:tcPr>
            <w:tcW w:w="1134" w:type="dxa"/>
            <w:tcBorders>
              <w:top w:val="nil"/>
              <w:bottom w:val="single" w:sz="4" w:space="0" w:color="auto"/>
            </w:tcBorders>
          </w:tcPr>
          <w:p>
            <w:pPr>
              <w:pStyle w:val="nTable"/>
              <w:spacing w:after="40"/>
              <w:rPr>
                <w:snapToGrid w:val="0"/>
                <w:sz w:val="19"/>
                <w:lang w:val="en-US"/>
              </w:rPr>
            </w:pPr>
            <w:r>
              <w:t>12 Dec 2005</w:t>
            </w:r>
          </w:p>
        </w:tc>
        <w:tc>
          <w:tcPr>
            <w:tcW w:w="2514" w:type="dxa"/>
            <w:tcBorders>
              <w:top w:val="nil"/>
              <w:bottom w:val="single" w:sz="4" w:space="0" w:color="auto"/>
            </w:tcBorders>
          </w:tcPr>
          <w:p>
            <w:pPr>
              <w:pStyle w:val="nTable"/>
              <w:spacing w:after="40"/>
              <w:rPr>
                <w:snapToGrid w:val="0"/>
                <w:sz w:val="19"/>
                <w:lang w:val="en-US"/>
              </w:rPr>
            </w:pPr>
            <w:r>
              <w:t>To be proclaimed (see s. 2)</w:t>
            </w:r>
          </w:p>
        </w:tc>
      </w:tr>
    </w:tbl>
    <w:p>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6</w:t>
      </w:r>
      <w:r>
        <w:tab/>
        <w:t xml:space="preserve">The </w:t>
      </w:r>
      <w:r>
        <w:rPr>
          <w:i/>
        </w:rPr>
        <w:t>State Administrative Tribunal Regulations 2004</w:t>
      </w:r>
      <w:r>
        <w:t xml:space="preserve"> r. 31 reads as follows:</w:t>
      </w:r>
    </w:p>
    <w:p>
      <w:pPr>
        <w:pStyle w:val="MiscOpen"/>
      </w:pPr>
      <w:r>
        <w:t>“</w:t>
      </w:r>
    </w:p>
    <w:p>
      <w:pPr>
        <w:pStyle w:val="nzHeading5"/>
      </w:pPr>
      <w:bookmarkStart w:id="194" w:name="_Toc90957839"/>
      <w:bookmarkStart w:id="195" w:name="_Toc92182254"/>
      <w:r>
        <w:rPr>
          <w:rStyle w:val="CharSectno"/>
        </w:rPr>
        <w:t>31</w:t>
      </w:r>
      <w:r>
        <w:t>.</w:t>
      </w:r>
      <w:r>
        <w:tab/>
      </w:r>
      <w:r>
        <w:rPr>
          <w:i/>
        </w:rPr>
        <w:t>Firearms Act 1973</w:t>
      </w:r>
      <w:bookmarkEnd w:id="194"/>
      <w:bookmarkEnd w:id="195"/>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7</w:t>
      </w:r>
      <w:r>
        <w:tab/>
        <w:t xml:space="preserve">The </w:t>
      </w:r>
      <w:r>
        <w:rPr>
          <w:i/>
        </w:rPr>
        <w:t>Firearms Amendment Act 2004</w:t>
      </w:r>
      <w:r>
        <w:t xml:space="preserve"> s. 15(3) reads as follows:</w:t>
      </w:r>
    </w:p>
    <w:p>
      <w:pPr>
        <w:pStyle w:val="MiscOpen"/>
      </w:pPr>
      <w:r>
        <w:t>“</w:t>
      </w:r>
    </w:p>
    <w:p>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19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trPr>
          <w:cantSplit/>
        </w:trPr>
        <w:tc>
          <w:tcPr>
            <w:tcW w:w="1527" w:type="dxa"/>
          </w:tcPr>
          <w:p>
            <w:pPr>
              <w:pStyle w:val="nzTable"/>
            </w:pPr>
            <w:r>
              <w:t>s. 22(1)</w:t>
            </w:r>
            <w:r>
              <w:rPr>
                <w:snapToGrid w:val="0"/>
                <w:vertAlign w:val="superscript"/>
              </w:rPr>
              <w:t xml:space="preserve"> 10</w:t>
            </w:r>
          </w:p>
        </w:tc>
        <w:tc>
          <w:tcPr>
            <w:tcW w:w="4284" w:type="dxa"/>
          </w:tcPr>
          <w:p>
            <w:pPr>
              <w:pStyle w:val="nzTable"/>
            </w:pPr>
            <w:r>
              <w:t>Delete the definition of “magistrate”.</w:t>
            </w:r>
          </w:p>
          <w:p>
            <w:pPr>
              <w:pStyle w:val="nzTable"/>
            </w:pPr>
            <w:r>
              <w:t>Delete the semi colon after the definition of “firearms appeal tribunal” and insert a full stop instead.</w:t>
            </w:r>
          </w:p>
        </w:tc>
      </w:tr>
      <w:tr>
        <w:trPr>
          <w:cantSplit/>
        </w:trPr>
        <w:tc>
          <w:tcPr>
            <w:tcW w:w="1527" w:type="dxa"/>
          </w:tcPr>
          <w:p>
            <w:pPr>
              <w:pStyle w:val="nzTable"/>
            </w:pPr>
            <w:r>
              <w:t>s. 22(3)</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tc>
      </w:tr>
      <w:tr>
        <w:trPr>
          <w:cantSplit/>
        </w:trPr>
        <w:tc>
          <w:tcPr>
            <w:tcW w:w="1527" w:type="dxa"/>
          </w:tcPr>
          <w:p>
            <w:pPr>
              <w:pStyle w:val="nzTable"/>
            </w:pPr>
            <w:r>
              <w:t>After s. 22(6)</w:t>
            </w:r>
            <w:r>
              <w:rPr>
                <w:snapToGrid w:val="0"/>
                <w:vertAlign w:val="superscript"/>
              </w:rPr>
              <w:t xml:space="preserve"> 10</w:t>
            </w:r>
          </w:p>
        </w:tc>
        <w:tc>
          <w:tcPr>
            <w:tcW w:w="4284" w:type="dxa"/>
          </w:tcPr>
          <w:p>
            <w:pPr>
              <w:pStyle w:val="nzTable"/>
            </w:pPr>
            <w:r>
              <w:t xml:space="preserve">Insert the following subsection — </w:t>
            </w:r>
          </w:p>
          <w:p>
            <w:pPr>
              <w:pStyle w:val="nzTable"/>
            </w:pPr>
            <w:r>
              <w:t>“</w:t>
            </w:r>
          </w:p>
          <w:p>
            <w:pPr>
              <w:pStyle w:val="nzTable"/>
              <w:tabs>
                <w:tab w:val="left" w:pos="317"/>
              </w:tabs>
              <w:ind w:left="884" w:hanging="884"/>
            </w:pPr>
            <w:r>
              <w:tab/>
              <w:t>(6a)</w:t>
            </w:r>
            <w:r>
              <w:tab/>
              <w:t>If an appeal is made to the Magistrates Court the court shall be constituted by a magistrate.</w:t>
            </w:r>
          </w:p>
          <w:p>
            <w:pPr>
              <w:pStyle w:val="nzTable"/>
              <w:jc w:val="right"/>
            </w:pPr>
            <w:r>
              <w:t>”.</w:t>
            </w:r>
          </w:p>
        </w:tc>
      </w:tr>
      <w:tr>
        <w:trPr>
          <w:cantSplit/>
        </w:trPr>
        <w:tc>
          <w:tcPr>
            <w:tcW w:w="1527" w:type="dxa"/>
          </w:tcPr>
          <w:p>
            <w:pPr>
              <w:pStyle w:val="nzTable"/>
            </w:pPr>
            <w:r>
              <w:t>s. 22(7)</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p>
            <w:pPr>
              <w:pStyle w:val="nzTable"/>
            </w:pPr>
            <w:r>
              <w:t>Delete “whom or”.</w:t>
            </w:r>
          </w:p>
        </w:tc>
      </w:tr>
      <w:tr>
        <w:trPr>
          <w:cantSplit/>
        </w:trPr>
        <w:tc>
          <w:tcPr>
            <w:tcW w:w="1527" w:type="dxa"/>
          </w:tcPr>
          <w:p>
            <w:pPr>
              <w:pStyle w:val="nzTable"/>
            </w:pPr>
            <w:r>
              <w:t>s. 22(8)</w:t>
            </w:r>
            <w:r>
              <w:rPr>
                <w:snapToGrid w:val="0"/>
                <w:vertAlign w:val="superscript"/>
              </w:rPr>
              <w:t xml:space="preserve"> 10</w:t>
            </w:r>
          </w:p>
        </w:tc>
        <w:tc>
          <w:tcPr>
            <w:tcW w:w="4284" w:type="dxa"/>
          </w:tcPr>
          <w:p>
            <w:pPr>
              <w:pStyle w:val="nzTable"/>
            </w:pPr>
            <w:r>
              <w:t xml:space="preserve">Delete “the magistrate” and insert instead — </w:t>
            </w:r>
          </w:p>
          <w:p>
            <w:pPr>
              <w:pStyle w:val="nzTable"/>
            </w:pPr>
            <w:r>
              <w:t>“    the Magistrates Court    ”.</w:t>
            </w:r>
          </w:p>
        </w:tc>
      </w:tr>
      <w:tr>
        <w:trPr>
          <w:cantSplit/>
        </w:trPr>
        <w:tc>
          <w:tcPr>
            <w:tcW w:w="1527" w:type="dxa"/>
          </w:tcPr>
          <w:p>
            <w:pPr>
              <w:pStyle w:val="nzTable"/>
            </w:pPr>
            <w:r>
              <w:t>s. 22(9)</w:t>
            </w:r>
            <w:r>
              <w:rPr>
                <w:snapToGrid w:val="0"/>
                <w:vertAlign w:val="superscript"/>
              </w:rPr>
              <w:t xml:space="preserve"> 10</w:t>
            </w:r>
          </w:p>
        </w:tc>
        <w:tc>
          <w:tcPr>
            <w:tcW w:w="4284" w:type="dxa"/>
          </w:tcPr>
          <w:p>
            <w:pPr>
              <w:pStyle w:val="nzTable"/>
            </w:pPr>
            <w:r>
              <w:t xml:space="preserve">Repeal the subsection and insert instead — </w:t>
            </w:r>
          </w:p>
          <w:p>
            <w:pPr>
              <w:pStyle w:val="nzTable"/>
            </w:pPr>
            <w:r>
              <w:t>“</w:t>
            </w:r>
          </w:p>
          <w:p>
            <w:pPr>
              <w:pStyle w:val="nzTable"/>
              <w:tabs>
                <w:tab w:val="left" w:pos="317"/>
              </w:tabs>
              <w:ind w:left="884" w:hanging="884"/>
            </w:pPr>
            <w:r>
              <w:tab/>
              <w:t>(9)</w:t>
            </w:r>
            <w:r>
              <w:tab/>
              <w:t>In determining an appeal the Magistrates Court may make any other order, including an order as to costs, that the court thinks fit.</w:t>
            </w:r>
          </w:p>
          <w:p>
            <w:pPr>
              <w:pStyle w:val="nzTable"/>
              <w:jc w:val="right"/>
            </w:pPr>
            <w:r>
              <w:t>”.</w:t>
            </w:r>
          </w:p>
        </w:tc>
      </w:tr>
      <w:tr>
        <w:trPr>
          <w:cantSplit/>
        </w:trPr>
        <w:tc>
          <w:tcPr>
            <w:tcW w:w="1527" w:type="dxa"/>
          </w:tcPr>
          <w:p>
            <w:pPr>
              <w:pStyle w:val="nzTable"/>
            </w:pPr>
            <w:r>
              <w:t>Schedule 3 cl. 1 </w:t>
            </w:r>
            <w:r>
              <w:rPr>
                <w:snapToGrid w:val="0"/>
                <w:vertAlign w:val="superscript"/>
              </w:rPr>
              <w:t>10</w:t>
            </w:r>
          </w:p>
        </w:tc>
        <w:tc>
          <w:tcPr>
            <w:tcW w:w="4284" w:type="dxa"/>
          </w:tcPr>
          <w:p>
            <w:pPr>
              <w:pStyle w:val="nzTable"/>
            </w:pPr>
            <w:r>
              <w:t xml:space="preserve">Delete the definition of “CSM” and insert instead — </w:t>
            </w:r>
          </w:p>
          <w:p>
            <w:pPr>
              <w:pStyle w:val="nzTable"/>
            </w:pPr>
            <w:r>
              <w:t>“</w:t>
            </w:r>
          </w:p>
          <w:p>
            <w:pPr>
              <w:pStyle w:val="nzTable"/>
              <w:tabs>
                <w:tab w:val="left" w:pos="459"/>
              </w:tabs>
              <w:ind w:left="743" w:hanging="743"/>
            </w:pPr>
            <w:r>
              <w:tab/>
            </w:r>
            <w:r>
              <w:rPr>
                <w:b/>
              </w:rPr>
              <w:t>“Chief Magistrate”</w:t>
            </w:r>
            <w:r>
              <w:t xml:space="preserve"> means the Chief Magistrate of the Magistrates Court;</w:t>
            </w:r>
          </w:p>
          <w:p>
            <w:pPr>
              <w:pStyle w:val="nzTable"/>
              <w:jc w:val="right"/>
            </w:pPr>
            <w:r>
              <w:t>”.</w:t>
            </w:r>
          </w:p>
        </w:tc>
      </w:tr>
      <w:tr>
        <w:trPr>
          <w:cantSplit/>
        </w:trPr>
        <w:tc>
          <w:tcPr>
            <w:tcW w:w="1527" w:type="dxa"/>
          </w:tcPr>
          <w:p>
            <w:pPr>
              <w:pStyle w:val="nzTable"/>
            </w:pPr>
            <w:r>
              <w:t>Schedule 3 </w:t>
            </w:r>
            <w:r>
              <w:rPr>
                <w:snapToGrid w:val="0"/>
                <w:vertAlign w:val="superscript"/>
              </w:rPr>
              <w:t>10</w:t>
            </w:r>
          </w:p>
        </w:tc>
        <w:tc>
          <w:tcPr>
            <w:tcW w:w="4284" w:type="dxa"/>
          </w:tcPr>
          <w:p>
            <w:pPr>
              <w:pStyle w:val="nzTable"/>
            </w:pPr>
            <w:r>
              <w:t xml:space="preserve">Delete “CSM” wherever it occurs and insert instead — </w:t>
            </w:r>
          </w:p>
          <w:p>
            <w:pPr>
              <w:pStyle w:val="nzTable"/>
            </w:pPr>
            <w:r>
              <w:t>“    Chief Magistrate    ”.</w:t>
            </w:r>
          </w:p>
        </w:tc>
      </w:tr>
    </w:tbl>
    <w:p>
      <w:pPr>
        <w:pStyle w:val="MiscClose"/>
      </w:pPr>
      <w:r>
        <w:t>”.</w:t>
      </w:r>
    </w:p>
    <w:p>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pPr>
        <w:pStyle w:val="nSubsection"/>
        <w:rPr>
          <w:snapToGrid w:val="0"/>
        </w:rPr>
      </w:pPr>
      <w:r>
        <w:rPr>
          <w:snapToGrid w:val="0"/>
          <w:vertAlign w:val="superscript"/>
        </w:rPr>
        <w:t>11</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96" w:name="_Toc520089319"/>
      <w:bookmarkStart w:id="197" w:name="_Toc40079665"/>
      <w:bookmarkStart w:id="198" w:name="_Toc76798033"/>
      <w:bookmarkStart w:id="199" w:name="_Toc101250727"/>
      <w:bookmarkStart w:id="200" w:name="_Toc112553649"/>
      <w:bookmarkStart w:id="201" w:name="_Toc122237752"/>
      <w:bookmarkStart w:id="202" w:name="_Toc112553685"/>
      <w:bookmarkStart w:id="203" w:name="_Toc112553866"/>
      <w:bookmarkStart w:id="204" w:name="_Toc112554047"/>
      <w:bookmarkStart w:id="205" w:name="_Toc121285788"/>
      <w:bookmarkStart w:id="206" w:name="_Toc122237788"/>
      <w:r>
        <w:rPr>
          <w:rStyle w:val="CharSectno"/>
        </w:rPr>
        <w:t>108</w:t>
      </w:r>
      <w:r>
        <w:t>.</w:t>
      </w:r>
      <w:r>
        <w:tab/>
      </w:r>
      <w:r>
        <w:rPr>
          <w:snapToGrid w:val="0"/>
        </w:rPr>
        <w:t>Consequential amendments</w:t>
      </w:r>
      <w:bookmarkEnd w:id="196"/>
      <w:bookmarkEnd w:id="197"/>
      <w:bookmarkEnd w:id="198"/>
      <w:bookmarkEnd w:id="199"/>
      <w:bookmarkEnd w:id="200"/>
      <w:bookmarkEnd w:id="20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202"/>
      <w:bookmarkEnd w:id="203"/>
      <w:bookmarkEnd w:id="204"/>
      <w:bookmarkEnd w:id="205"/>
      <w:bookmarkEnd w:id="206"/>
    </w:p>
    <w:p>
      <w:pPr>
        <w:pStyle w:val="nzMiscellaneousBody"/>
        <w:jc w:val="right"/>
      </w:pPr>
      <w:r>
        <w:t>[s. 108]</w:t>
      </w:r>
    </w:p>
    <w:p>
      <w:pPr>
        <w:pStyle w:val="nzHeading5"/>
      </w:pPr>
      <w:bookmarkStart w:id="207" w:name="_Toc112553689"/>
      <w:bookmarkStart w:id="208" w:name="_Toc122237792"/>
      <w:r>
        <w:rPr>
          <w:rStyle w:val="CharSClsNo"/>
        </w:rPr>
        <w:t>4</w:t>
      </w:r>
      <w:r>
        <w:t>.</w:t>
      </w:r>
      <w:r>
        <w:tab/>
      </w:r>
      <w:r>
        <w:rPr>
          <w:i/>
        </w:rPr>
        <w:t>Firearms Act 1973</w:t>
      </w:r>
      <w:r>
        <w:t xml:space="preserve"> amended</w:t>
      </w:r>
      <w:bookmarkEnd w:id="207"/>
      <w:bookmarkEnd w:id="208"/>
    </w:p>
    <w:p>
      <w:pPr>
        <w:pStyle w:val="nzSubsection"/>
      </w:pPr>
      <w:r>
        <w:tab/>
        <w:t>(1)</w:t>
      </w:r>
      <w:r>
        <w:tab/>
        <w:t xml:space="preserve">The amendments in this clause are to the </w:t>
      </w:r>
      <w:r>
        <w:rPr>
          <w:i/>
        </w:rPr>
        <w:t>Firearms Act 1973</w:t>
      </w:r>
      <w:r>
        <w:rPr>
          <w:iCs/>
        </w:rPr>
        <w:t>.</w:t>
      </w:r>
    </w:p>
    <w:p>
      <w:pPr>
        <w:pStyle w:val="nz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nzDefpara"/>
      </w:pPr>
      <w:r>
        <w:tab/>
        <w:t>(b)</w:t>
      </w:r>
      <w:r>
        <w:tab/>
        <w:t xml:space="preserve">a psychologist as defined in the </w:t>
      </w:r>
      <w:r>
        <w:rPr>
          <w:i/>
        </w:rPr>
        <w:t>Psychologists Act 2005</w:t>
      </w:r>
      <w:r>
        <w:t xml:space="preserve"> section 3;</w:t>
      </w:r>
    </w:p>
    <w:p>
      <w:pPr>
        <w:pStyle w:val="MiscClose"/>
        <w:ind w:right="258"/>
      </w:pPr>
      <w:r>
        <w:t xml:space="preserve">    ”.</w:t>
      </w:r>
    </w:p>
    <w:p>
      <w:pPr>
        <w:pStyle w:val="MiscClose"/>
      </w:pPr>
      <w:r>
        <w:t xml:space="preserve">    ”.</w:t>
      </w:r>
    </w:p>
    <w:p/>
    <w:p>
      <w:pPr>
        <w:sectPr>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FC06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E544B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8ADA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962C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08A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656F5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C4CC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8A74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980530"/>
    <w:lvl w:ilvl="0">
      <w:start w:val="1"/>
      <w:numFmt w:val="decimal"/>
      <w:pStyle w:val="ListNumber"/>
      <w:lvlText w:val="%1."/>
      <w:lvlJc w:val="left"/>
      <w:pPr>
        <w:tabs>
          <w:tab w:val="num" w:pos="360"/>
        </w:tabs>
        <w:ind w:left="360" w:hanging="360"/>
      </w:pPr>
    </w:lvl>
  </w:abstractNum>
  <w:abstractNum w:abstractNumId="9">
    <w:nsid w:val="FFFFFF89"/>
    <w:multiLevelType w:val="singleLevel"/>
    <w:tmpl w:val="D590A6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040C6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49E32F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805"/>
    <w:docVar w:name="WAFER_20151210140805" w:val="RemoveTrackChanges"/>
    <w:docVar w:name="WAFER_20151210140805_GUID" w:val="e7e4a6be-1118-4ef0-b6f2-bc59a1823e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20782</Words>
  <Characters>97470</Characters>
  <Application>Microsoft Office Word</Application>
  <DocSecurity>0</DocSecurity>
  <Lines>2634</Lines>
  <Paragraphs>1313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1973 - 04-b0-03</dc:title>
  <dc:subject/>
  <dc:creator/>
  <cp:keywords/>
  <dc:description/>
  <cp:lastModifiedBy>svcMRProcess</cp:lastModifiedBy>
  <cp:revision>4</cp:revision>
  <cp:lastPrinted>2005-12-13T07:45:00Z</cp:lastPrinted>
  <dcterms:created xsi:type="dcterms:W3CDTF">2015-12-13T09:59:00Z</dcterms:created>
  <dcterms:modified xsi:type="dcterms:W3CDTF">2015-12-13T09:59:00Z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278</vt:i4>
  </property>
  <property fmtid="{D5CDD505-2E9C-101B-9397-08002B2CF9AE}" pid="6" name="AsAtDate">
    <vt:lpwstr>12 Dec 2005</vt:lpwstr>
  </property>
  <property fmtid="{D5CDD505-2E9C-101B-9397-08002B2CF9AE}" pid="7" name="Suffix">
    <vt:lpwstr>04-b0-03</vt:lpwstr>
  </property>
</Properties>
</file>