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Fremantle Reserves Surrender Act 1912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Fremantle Reserves Surrender Act 1912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Pr>
          <w:snapToGrid w:val="0"/>
        </w:rPr>
        <w:t>1.</w:t>
      </w:r>
      <w:r>
        <w:rPr>
          <w:snapToGrid w:val="0"/>
        </w:rPr>
        <w:tab/>
        <w:t>Short title</w:t>
      </w:r>
      <w:r>
        <w:tab/>
      </w:r>
      <w:r>
        <w:fldChar w:fldCharType="begin"/>
      </w:r>
      <w:r>
        <w:instrText xml:space="preserve"> PAGEREF _Toc418677264 \h </w:instrText>
      </w:r>
      <w:r>
        <w:fldChar w:fldCharType="separate"/>
      </w:r>
      <w:r>
        <w:t>1</w:t>
      </w:r>
      <w:r>
        <w:fldChar w:fldCharType="end"/>
      </w:r>
    </w:p>
    <w:p>
      <w:pPr>
        <w:pStyle w:val="TOC8"/>
        <w:rPr>
          <w:rFonts w:asciiTheme="minorHAnsi" w:eastAsiaTheme="minorEastAsia" w:hAnsiTheme="minorHAnsi" w:cstheme="minorBidi"/>
          <w:szCs w:val="22"/>
        </w:rPr>
      </w:pPr>
      <w:r>
        <w:rPr>
          <w:snapToGrid w:val="0"/>
        </w:rPr>
        <w:t>2.</w:t>
      </w:r>
      <w:r>
        <w:rPr>
          <w:snapToGrid w:val="0"/>
        </w:rPr>
        <w:tab/>
        <w:t>Power to surrender certain reserves</w:t>
      </w:r>
      <w:r>
        <w:tab/>
      </w:r>
      <w:r>
        <w:fldChar w:fldCharType="begin"/>
      </w:r>
      <w:r>
        <w:instrText xml:space="preserve"> PAGEREF _Toc418677265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Fremantle Reserves Surrender Act 1912 </w:t>
      </w:r>
    </w:p>
    <w:p>
      <w:pPr>
        <w:pStyle w:val="LongTitle"/>
        <w:rPr>
          <w:snapToGrid w:val="0"/>
        </w:rPr>
      </w:pPr>
      <w:r>
        <w:rPr>
          <w:snapToGrid w:val="0"/>
        </w:rPr>
        <w:t xml:space="preserve">An Act to authorise the Fremantle Municipal Council to surrender certain Lands, to be dedicated to the purposes of the </w:t>
      </w:r>
      <w:r>
        <w:rPr>
          <w:i/>
          <w:snapToGrid w:val="0"/>
        </w:rPr>
        <w:t>Workers’ Homes Act 1912</w:t>
      </w:r>
      <w:r>
        <w:rPr>
          <w:snapToGrid w:val="0"/>
        </w:rPr>
        <w:t xml:space="preserve">. </w:t>
      </w:r>
    </w:p>
    <w:p>
      <w:pPr>
        <w:pStyle w:val="Heading5"/>
        <w:rPr>
          <w:snapToGrid w:val="0"/>
        </w:rPr>
      </w:pPr>
      <w:bookmarkStart w:id="3" w:name="_Toc378254199"/>
      <w:bookmarkStart w:id="4" w:name="_Toc418677264"/>
      <w:r>
        <w:rPr>
          <w:snapToGrid w:val="0"/>
        </w:rPr>
        <w:t>1.</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Fremantle Reserves Surrender Act 1912</w:t>
      </w:r>
      <w:r>
        <w:rPr>
          <w:snapToGrid w:val="0"/>
        </w:rPr>
        <w:t>.</w:t>
      </w:r>
    </w:p>
    <w:p>
      <w:pPr>
        <w:pStyle w:val="Heading5"/>
        <w:rPr>
          <w:snapToGrid w:val="0"/>
        </w:rPr>
      </w:pPr>
      <w:bookmarkStart w:id="5" w:name="_Toc378254200"/>
      <w:bookmarkStart w:id="6" w:name="_Toc418677265"/>
      <w:r>
        <w:rPr>
          <w:snapToGrid w:val="0"/>
        </w:rPr>
        <w:t>2.</w:t>
      </w:r>
      <w:r>
        <w:rPr>
          <w:snapToGrid w:val="0"/>
        </w:rPr>
        <w:tab/>
        <w:t>Power to surrender certain reserves</w:t>
      </w:r>
      <w:bookmarkEnd w:id="5"/>
      <w:bookmarkEnd w:id="6"/>
      <w:r>
        <w:rPr>
          <w:snapToGrid w:val="0"/>
        </w:rPr>
        <w:t xml:space="preserve"> </w:t>
      </w:r>
    </w:p>
    <w:p>
      <w:pPr>
        <w:pStyle w:val="Subsection"/>
        <w:rPr>
          <w:snapToGrid w:val="0"/>
        </w:rPr>
      </w:pPr>
      <w:r>
        <w:rPr>
          <w:snapToGrid w:val="0"/>
        </w:rPr>
        <w:tab/>
      </w:r>
      <w:r>
        <w:rPr>
          <w:snapToGrid w:val="0"/>
        </w:rPr>
        <w:tab/>
        <w:t xml:space="preserve">It shall be lawful for the Fremantle Municipal Council to surrender to His Majesty the King, Fremantle Town Lots No. 1353 and No. 1532, or any portions thereof. Provided that the lands surrendered shall be dedicated by the Governor to the purposes of the </w:t>
      </w:r>
      <w:r>
        <w:rPr>
          <w:i/>
          <w:snapToGrid w:val="0"/>
        </w:rPr>
        <w:t>Workers’ Homes Act 1912</w:t>
      </w:r>
      <w:r>
        <w:rPr>
          <w:snapToGrid w:val="0"/>
        </w:rPr>
        <w:t>.</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299"/>
        </w:sectPr>
      </w:pPr>
    </w:p>
    <w:p>
      <w:pPr>
        <w:pStyle w:val="nHeading2"/>
      </w:pPr>
      <w:bookmarkStart w:id="7" w:name="_Toc378254201"/>
      <w:bookmarkStart w:id="8" w:name="_Toc418677211"/>
      <w:bookmarkStart w:id="9" w:name="_Toc418677250"/>
      <w:bookmarkStart w:id="10" w:name="_Toc418677266"/>
      <w:r>
        <w:t>Notes</w:t>
      </w:r>
      <w:bookmarkEnd w:id="7"/>
      <w:bookmarkEnd w:id="8"/>
      <w:bookmarkEnd w:id="9"/>
      <w:bookmarkEnd w:id="10"/>
    </w:p>
    <w:p>
      <w:pPr>
        <w:pStyle w:val="nSubsection"/>
      </w:pPr>
      <w:r>
        <w:rPr>
          <w:rFonts w:ascii="Courier New" w:hAnsi="Courier New"/>
          <w:snapToGrid w:val="0"/>
          <w:sz w:val="24"/>
          <w:vertAlign w:val="superscript"/>
        </w:rPr>
        <w:t>1.</w:t>
      </w:r>
      <w:r>
        <w:rPr>
          <w:rFonts w:ascii="Courier New" w:hAnsi="Courier New"/>
          <w:snapToGrid w:val="0"/>
          <w:sz w:val="24"/>
        </w:rPr>
        <w:tab/>
      </w:r>
      <w:r>
        <w:t xml:space="preserve">This is a compilation of the </w:t>
      </w:r>
      <w:r>
        <w:rPr>
          <w:i/>
        </w:rPr>
        <w:t>Fremantle Reserves Surrender Act 1912</w:t>
      </w:r>
      <w:r>
        <w:t xml:space="preserve"> and includes all amendments effected by the other Acts referred to in the following Table.</w:t>
      </w:r>
    </w:p>
    <w:p>
      <w:pPr>
        <w:pStyle w:val="nHeading3"/>
        <w:rPr>
          <w:snapToGrid w:val="0"/>
        </w:rPr>
      </w:pPr>
      <w:r>
        <w:rPr>
          <w:snapToGrid w:val="0"/>
        </w:rPr>
        <w:t>Compilation table</w:t>
      </w:r>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before="40"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before="40"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before="40"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before="40" w:after="40"/>
            </w:pPr>
            <w:r>
              <w:rPr>
                <w:i/>
              </w:rPr>
              <w:t>Fremantle Reserves Surrender Act 1912</w:t>
            </w:r>
          </w:p>
        </w:tc>
        <w:tc>
          <w:tcPr>
            <w:tcW w:w="1134" w:type="dxa"/>
            <w:tcBorders>
              <w:top w:val="single" w:sz="8" w:space="0" w:color="auto"/>
              <w:bottom w:val="single" w:sz="8" w:space="0" w:color="auto"/>
            </w:tcBorders>
            <w:shd w:val="clear" w:color="auto" w:fill="auto"/>
          </w:tcPr>
          <w:p>
            <w:pPr>
              <w:pStyle w:val="nTable"/>
              <w:spacing w:before="40" w:after="40"/>
            </w:pPr>
            <w:r>
              <w:t>37 of 1912</w:t>
            </w:r>
          </w:p>
        </w:tc>
        <w:tc>
          <w:tcPr>
            <w:tcW w:w="1134" w:type="dxa"/>
            <w:tcBorders>
              <w:top w:val="single" w:sz="8" w:space="0" w:color="auto"/>
              <w:bottom w:val="single" w:sz="8" w:space="0" w:color="auto"/>
            </w:tcBorders>
            <w:shd w:val="clear" w:color="auto" w:fill="auto"/>
          </w:tcPr>
          <w:p>
            <w:pPr>
              <w:pStyle w:val="nTable"/>
              <w:spacing w:before="40" w:after="40"/>
            </w:pPr>
            <w:r>
              <w:t>5 Nov 1912</w:t>
            </w:r>
          </w:p>
        </w:tc>
        <w:tc>
          <w:tcPr>
            <w:tcW w:w="2551" w:type="dxa"/>
            <w:tcBorders>
              <w:top w:val="single" w:sz="8" w:space="0" w:color="auto"/>
              <w:bottom w:val="single" w:sz="8" w:space="0" w:color="auto"/>
            </w:tcBorders>
            <w:shd w:val="clear" w:color="auto" w:fill="auto"/>
          </w:tcPr>
          <w:p>
            <w:pPr>
              <w:pStyle w:val="nTable"/>
              <w:spacing w:before="40" w:after="40"/>
            </w:pPr>
            <w:r>
              <w:t>5 Nov 1912</w:t>
            </w:r>
          </w:p>
        </w:tc>
      </w:tr>
    </w:tbl>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299"/>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pP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06 Jul 1998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00-a0-13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Fremantle Reserves Surrender Act 1912</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Reserves Surrender Act 1912</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1" w:name="Compilation"/>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 w:name="Coversheet"/>
    <w:bookmarkEnd w:id="1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Fremantle Reserves Surrender Act 1912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Fremantle Reserves Surrender Act 1912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Fremantle Reserves Surrender Act 1912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Fremantle Reserves Surrender Act 1912</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1FE908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3CA18F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4164DE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7869D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8962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C01DD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9B255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2F294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ECAAD22"/>
    <w:lvl w:ilvl="0">
      <w:start w:val="1"/>
      <w:numFmt w:val="decimal"/>
      <w:pStyle w:val="ListNumber"/>
      <w:lvlText w:val="%1."/>
      <w:lvlJc w:val="left"/>
      <w:pPr>
        <w:tabs>
          <w:tab w:val="num" w:pos="360"/>
        </w:tabs>
        <w:ind w:left="360" w:hanging="360"/>
      </w:pPr>
    </w:lvl>
  </w:abstractNum>
  <w:abstractNum w:abstractNumId="9">
    <w:nsid w:val="FFFFFF89"/>
    <w:multiLevelType w:val="singleLevel"/>
    <w:tmpl w:val="955A0B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6FDE73CC"/>
    <w:multiLevelType w:val="multilevel"/>
    <w:tmpl w:val="B7EA0D48"/>
    <w:name w:val="PenaltyNumbers"/>
    <w:lvl w:ilvl="0">
      <w:start w:val="1"/>
      <w:numFmt w:val="none"/>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1"/>
  </w:num>
  <w:num w:numId="13">
    <w:abstractNumId w:val="2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hideSpellingErrors/>
  <w:revisionView w:formatting="0"/>
  <w:defaultTabStop w:val="720"/>
  <w:doNotHyphenateCaps/>
  <w:evenAndOddHeaders/>
  <w:drawingGridHorizontalSpacing w:val="110"/>
  <w:drawingGridVerticalSpacing w:val="299"/>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412140635"/>
    <w:docVar w:name="WAFER_20140123151942" w:val="RemoveTocBookmarks,RemoveUnusedBookmarks,RemoveLanguageTags,UsedStyles,ResetPageSize,UpdateArrangement"/>
    <w:docVar w:name="WAFER_20140123151942_GUID" w:val="6b72b4e8-0003-43db-a7ff-431c5ec2f67a"/>
    <w:docVar w:name="WAFER_20140123152256" w:val="RemoveTocBookmarks,RunningHeaders"/>
    <w:docVar w:name="WAFER_20140123152256_GUID" w:val="74b74a10-ce58-475a-ad08-e4ece4bd2da2"/>
    <w:docVar w:name="WAFER_20150506114344" w:val="ResetPageSize,UpdateArrangement,UpdateNTable"/>
    <w:docVar w:name="WAFER_20150506114344_GUID" w:val="b5e9bdda-85e8-4cf8-9891-1cec40874562"/>
    <w:docVar w:name="WAFER_20160412140635" w:val="UsedStyles"/>
    <w:docVar w:name="WAFER_20160412140635_GUID" w:val="88924d5d-7191-4a15-90f3-bf282bb262f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sz w:val="24"/>
    </w:rPr>
  </w:style>
  <w:style w:type="paragraph" w:styleId="Heading5">
    <w:name w:val="heading 5"/>
    <w:next w:val="Normal"/>
    <w:qFormat/>
    <w:pPr>
      <w:keepNext/>
      <w:keepLines/>
      <w:tabs>
        <w:tab w:val="left" w:pos="893"/>
      </w:tabs>
      <w:spacing w:before="220" w:line="260" w:lineRule="atLeast"/>
      <w:ind w:left="893" w:hanging="893"/>
      <w:outlineLvl w:val="4"/>
    </w:pPr>
    <w:rPr>
      <w:b/>
      <w:sz w:val="24"/>
    </w:rPr>
  </w:style>
  <w:style w:type="paragraph" w:styleId="Heading6">
    <w:name w:val="heading 6"/>
    <w:basedOn w:val="Heading1"/>
    <w:next w:val="Normal"/>
    <w:qFormat/>
    <w:pPr>
      <w:outlineLvl w:val="5"/>
    </w:pPr>
    <w:rPr>
      <w:sz w:val="36"/>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spacing w:before="240"/>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sz w:val="24"/>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noProof w:val="0"/>
      <w:sz w:val="18"/>
    </w:rPr>
  </w:style>
  <w:style w:type="paragraph" w:customStyle="1" w:styleId="zPenstart">
    <w:name w:val="zPenstart"/>
    <w:basedOn w:val="Penstart"/>
    <w:pPr>
      <w:pBdr>
        <w:left w:val="threeDEngrave" w:sz="24" w:space="4" w:color="auto"/>
        <w:right w:val="threeDEmboss" w:sz="24" w:space="4" w:color="auto"/>
      </w:pBdr>
      <w:shd w:val="pct12" w:color="808080" w:fill="FFFFFF"/>
    </w:pPr>
  </w:style>
  <w:style w:type="paragraph" w:customStyle="1" w:styleId="Penstart">
    <w:name w:val="Penstart"/>
    <w:basedOn w:val="Normal"/>
    <w:pPr>
      <w:tabs>
        <w:tab w:val="left" w:pos="893"/>
      </w:tabs>
      <w:spacing w:before="80" w:line="260" w:lineRule="atLeast"/>
      <w:ind w:left="893" w:hanging="893"/>
    </w:pPr>
    <w:rPr>
      <w:sz w:val="24"/>
    </w:rPr>
  </w:style>
  <w:style w:type="paragraph" w:customStyle="1" w:styleId="Preamble">
    <w:name w:val="Preamble"/>
    <w:pPr>
      <w:tabs>
        <w:tab w:val="right" w:pos="605"/>
        <w:tab w:val="left" w:pos="893"/>
      </w:tabs>
      <w:spacing w:before="160" w:line="260" w:lineRule="atLeast"/>
    </w:pPr>
    <w:rPr>
      <w:sz w:val="24"/>
    </w:rPr>
  </w:style>
  <w:style w:type="character" w:styleId="Strong">
    <w:name w:val="Strong"/>
    <w:basedOn w:val="DefaultParagraphFont"/>
    <w:qFormat/>
    <w:rPr>
      <w:b/>
      <w:noProof w:val="0"/>
      <w:sz w:val="24"/>
    </w:rPr>
  </w:style>
  <w:style w:type="paragraph" w:customStyle="1" w:styleId="ySubsection">
    <w:name w:val="ySubsection"/>
    <w:basedOn w:val="Subsection"/>
    <w:rPr>
      <w:sz w:val="22"/>
    </w:rPr>
  </w:style>
  <w:style w:type="paragraph" w:customStyle="1" w:styleId="Subsection">
    <w:name w:val="Subsection"/>
    <w:pPr>
      <w:tabs>
        <w:tab w:val="right" w:pos="605"/>
        <w:tab w:val="left" w:pos="893"/>
      </w:tabs>
      <w:spacing w:before="160" w:line="260" w:lineRule="atLeast"/>
      <w:ind w:left="893" w:hanging="893"/>
    </w:pPr>
    <w:rPr>
      <w:sz w:val="24"/>
    </w:rPr>
  </w:style>
  <w:style w:type="paragraph" w:customStyle="1" w:styleId="Table">
    <w:name w:val="Table"/>
    <w:aliases w:val="t"/>
    <w:basedOn w:val="Normal"/>
    <w:pPr>
      <w:spacing w:before="60" w:line="240" w:lineRule="atLeast"/>
    </w:pPr>
    <w:rPr>
      <w:sz w:val="24"/>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noProof w:val="0"/>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rPr>
      <w:rFonts w:ascii="Tahoma" w:hAnsi="Tahoma"/>
    </w:rPr>
  </w:style>
  <w:style w:type="paragraph" w:customStyle="1" w:styleId="zSubsection">
    <w:name w:val="zSubsection"/>
    <w:basedOn w:val="Subsection"/>
    <w:pPr>
      <w:pBdr>
        <w:left w:val="threeDEngrave" w:sz="24" w:space="4" w:color="auto"/>
        <w:right w:val="threeDEmboss" w:sz="24" w:space="4" w:color="auto"/>
      </w:pBdr>
      <w:shd w:val="pct12" w:color="808080" w:fill="FFFFFF"/>
    </w:pPr>
  </w:style>
  <w:style w:type="character" w:styleId="Hyperlink">
    <w:name w:val="Hyperlink"/>
    <w:basedOn w:val="DefaultParagraphFont"/>
    <w:semiHidden/>
    <w:rPr>
      <w:noProof w:val="0"/>
      <w:color w:val="0000FF"/>
      <w:sz w:val="24"/>
      <w:u w:val="single"/>
    </w:rPr>
  </w:style>
  <w:style w:type="character" w:styleId="FollowedHyperlink">
    <w:name w:val="FollowedHyperlink"/>
    <w:basedOn w:val="DefaultParagraphFont"/>
    <w:semiHidden/>
    <w:rPr>
      <w:noProof w:val="0"/>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pPr>
      <w:spacing w:before="600"/>
    </w:pPr>
    <w:rPr>
      <w:b/>
      <w:sz w:val="24"/>
    </w:rPr>
  </w:style>
  <w:style w:type="paragraph" w:styleId="Signature">
    <w:name w:val="Signature"/>
    <w:basedOn w:val="Normal"/>
    <w:semiHidden/>
    <w:pPr>
      <w:ind w:left="4252"/>
    </w:pPr>
    <w:rPr>
      <w:sz w:val="24"/>
    </w:rPr>
  </w:style>
  <w:style w:type="paragraph" w:styleId="List">
    <w:name w:val="List"/>
    <w:basedOn w:val="Normal"/>
    <w:semiHidden/>
    <w:pPr>
      <w:ind w:left="283" w:hanging="283"/>
    </w:pPr>
  </w:style>
  <w:style w:type="paragraph" w:customStyle="1" w:styleId="Indenta">
    <w:name w:val="Indent(a)"/>
    <w:pPr>
      <w:keepLines/>
      <w:tabs>
        <w:tab w:val="right" w:pos="1325"/>
        <w:tab w:val="left" w:pos="1613"/>
      </w:tabs>
      <w:spacing w:before="80" w:line="260" w:lineRule="atLeast"/>
      <w:ind w:left="1613" w:hanging="1613"/>
    </w:pPr>
    <w:rPr>
      <w:sz w:val="24"/>
    </w:rPr>
  </w:style>
  <w:style w:type="paragraph" w:customStyle="1" w:styleId="IndentA0">
    <w:name w:val="Indent(A)"/>
    <w:pPr>
      <w:keepLines/>
      <w:tabs>
        <w:tab w:val="right" w:pos="2621"/>
        <w:tab w:val="left" w:pos="2909"/>
      </w:tabs>
      <w:spacing w:before="80" w:line="260" w:lineRule="atLeast"/>
      <w:ind w:left="2909" w:hanging="2909"/>
    </w:pPr>
    <w:rPr>
      <w:sz w:val="24"/>
    </w:rPr>
  </w:style>
  <w:style w:type="paragraph" w:customStyle="1" w:styleId="Indenti">
    <w:name w:val="Indent(i)"/>
    <w:pPr>
      <w:tabs>
        <w:tab w:val="right" w:pos="2045"/>
        <w:tab w:val="left" w:pos="2333"/>
      </w:tabs>
      <w:spacing w:before="80" w:line="260" w:lineRule="atLeast"/>
      <w:ind w:left="2333" w:hanging="2333"/>
    </w:pPr>
    <w:rPr>
      <w:sz w:val="24"/>
    </w:rPr>
  </w:style>
  <w:style w:type="paragraph" w:customStyle="1" w:styleId="IndentI0">
    <w:name w:val="Indent(I)"/>
    <w:pPr>
      <w:keepLines/>
      <w:tabs>
        <w:tab w:val="right" w:pos="3197"/>
        <w:tab w:val="left" w:pos="3485"/>
      </w:tabs>
      <w:spacing w:before="80" w:line="260" w:lineRule="atLeast"/>
      <w:ind w:left="3485" w:hanging="3485"/>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160" w:line="260" w:lineRule="atLeast"/>
      <w:ind w:left="2333" w:hanging="2333"/>
    </w:pPr>
    <w:rPr>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spacing w:before="160" w:line="260" w:lineRule="atLeast"/>
      <w:jc w:val="center"/>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before="160"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120" w:line="260" w:lineRule="atLeast"/>
      <w:ind w:left="3053" w:hanging="3053"/>
    </w:pPr>
    <w:rPr>
      <w:sz w:val="24"/>
    </w:rPr>
  </w:style>
  <w:style w:type="paragraph" w:customStyle="1" w:styleId="zHeading1">
    <w:name w:val="zHeading 1"/>
    <w:basedOn w:val="Heading1"/>
    <w:pPr>
      <w:pBdr>
        <w:left w:val="threeDEngrave" w:sz="24" w:space="4" w:color="auto"/>
        <w:right w:val="threeDEmboss" w:sz="24" w:space="4" w:color="auto"/>
      </w:pBdr>
      <w:shd w:val="pct12" w:color="808080" w:fill="FFFFFF"/>
      <w:outlineLvl w:val="9"/>
    </w:pPr>
    <w:rPr>
      <w:sz w:val="36"/>
    </w:rPr>
  </w:style>
  <w:style w:type="paragraph" w:customStyle="1" w:styleId="zHeading2">
    <w:name w:val="zHeading 2"/>
    <w:basedOn w:val="Heading2"/>
    <w:pPr>
      <w:pBdr>
        <w:left w:val="threeDEngrave" w:sz="24" w:space="4" w:color="auto"/>
        <w:right w:val="threeDEmboss" w:sz="24" w:space="4" w:color="auto"/>
      </w:pBdr>
      <w:shd w:val="pct12" w:color="808080" w:fill="FFFFFF"/>
      <w:outlineLvl w:val="9"/>
    </w:pPr>
    <w:rPr>
      <w:sz w:val="32"/>
    </w:rPr>
  </w:style>
  <w:style w:type="paragraph" w:customStyle="1" w:styleId="zHeading3">
    <w:name w:val="zHeading 3"/>
    <w:basedOn w:val="Heading3"/>
    <w:pPr>
      <w:pBdr>
        <w:left w:val="threeDEngrave" w:sz="24" w:space="4" w:color="auto"/>
        <w:right w:val="threeDEmboss" w:sz="24" w:space="4" w:color="auto"/>
      </w:pBdr>
      <w:shd w:val="pct12" w:color="808080" w:fill="FFFFFF"/>
      <w:outlineLvl w:val="9"/>
    </w:pPr>
    <w:rPr>
      <w:sz w:val="28"/>
    </w:rPr>
  </w:style>
  <w:style w:type="paragraph" w:customStyle="1" w:styleId="zHeading4">
    <w:name w:val="zHeading 4"/>
    <w:basedOn w:val="Heading4"/>
    <w:pPr>
      <w:pBdr>
        <w:left w:val="threeDEngrave" w:sz="24" w:space="4" w:color="auto"/>
        <w:right w:val="threeDEmboss" w:sz="24" w:space="4" w:color="auto"/>
      </w:pBdr>
      <w:shd w:val="pct12" w:color="808080" w:fill="FFFFFF"/>
      <w:outlineLvl w:val="9"/>
    </w:pPr>
  </w:style>
  <w:style w:type="paragraph" w:customStyle="1" w:styleId="zHeading5">
    <w:name w:val="zHeading 5"/>
    <w:basedOn w:val="Heading5"/>
    <w:pPr>
      <w:pBdr>
        <w:left w:val="threeDEngrave" w:sz="24" w:space="4" w:color="auto"/>
        <w:right w:val="threeDEmboss" w:sz="24" w:space="4" w:color="auto"/>
      </w:pBdr>
      <w:shd w:val="pct12" w:color="808080" w:fill="FFFFFF"/>
      <w:outlineLvl w:val="9"/>
    </w:pPr>
  </w:style>
  <w:style w:type="paragraph" w:customStyle="1" w:styleId="yHeading2">
    <w:name w:val="yHeading 2"/>
    <w:basedOn w:val="Heading2"/>
    <w:pPr>
      <w:pageBreakBefore w:val="0"/>
      <w:outlineLvl w:val="9"/>
    </w:pPr>
    <w:rPr>
      <w:sz w:val="28"/>
    </w:rPr>
  </w:style>
  <w:style w:type="paragraph" w:customStyle="1" w:styleId="yHeading1">
    <w:name w:val="yHeading 1"/>
    <w:basedOn w:val="Heading1"/>
    <w:rPr>
      <w:sz w:val="32"/>
    </w:rPr>
  </w:style>
  <w:style w:type="paragraph" w:customStyle="1" w:styleId="yHeading3">
    <w:name w:val="yHeading 3"/>
    <w:basedOn w:val="Heading3"/>
    <w:rPr>
      <w:sz w:val="24"/>
    </w:rPr>
  </w:style>
  <w:style w:type="paragraph" w:customStyle="1" w:styleId="yHeading4">
    <w:name w:val="yHeading 4"/>
    <w:basedOn w:val="Heading4"/>
    <w:rPr>
      <w:sz w:val="22"/>
    </w:rPr>
  </w:style>
  <w:style w:type="paragraph" w:customStyle="1" w:styleId="yHeading5">
    <w:name w:val="yHeading 5"/>
    <w:basedOn w:val="Heading5"/>
    <w:rPr>
      <w:sz w:val="22"/>
    </w:rPr>
  </w:style>
  <w:style w:type="paragraph" w:customStyle="1" w:styleId="Ednotesubitem">
    <w:name w:val="Ednote(subitem)"/>
    <w:pPr>
      <w:tabs>
        <w:tab w:val="right" w:pos="3485"/>
        <w:tab w:val="left" w:pos="3773"/>
      </w:tabs>
      <w:spacing w:before="160" w:line="260" w:lineRule="atLeast"/>
      <w:ind w:left="3773" w:hanging="3773"/>
    </w:pPr>
    <w:rPr>
      <w:sz w:val="24"/>
    </w:rPr>
  </w:style>
  <w:style w:type="paragraph" w:customStyle="1" w:styleId="Penpara">
    <w:name w:val="Penpara"/>
    <w:pPr>
      <w:tabs>
        <w:tab w:val="right" w:pos="1325"/>
        <w:tab w:val="left" w:pos="1613"/>
      </w:tabs>
      <w:spacing w:before="80" w:line="260" w:lineRule="atLeast"/>
      <w:ind w:left="1613" w:hanging="1613"/>
    </w:pPr>
    <w:rPr>
      <w:sz w:val="24"/>
    </w:rPr>
  </w:style>
  <w:style w:type="paragraph" w:customStyle="1" w:styleId="Pensubpara">
    <w:name w:val="Pensubpara"/>
    <w:pPr>
      <w:tabs>
        <w:tab w:val="right" w:pos="2045"/>
        <w:tab w:val="left" w:pos="2333"/>
      </w:tabs>
      <w:spacing w:before="160" w:line="260" w:lineRule="atLeast"/>
      <w:ind w:firstLine="2333"/>
    </w:pPr>
    <w:rPr>
      <w:sz w:val="24"/>
    </w:rPr>
  </w:style>
  <w:style w:type="paragraph" w:customStyle="1" w:styleId="Penitem">
    <w:name w:val="Penitem"/>
    <w:pPr>
      <w:tabs>
        <w:tab w:val="right" w:pos="2765"/>
        <w:tab w:val="left" w:pos="3053"/>
      </w:tabs>
      <w:spacing w:before="80" w:line="260" w:lineRule="atLeast"/>
      <w:ind w:left="3053" w:hanging="3053"/>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2"/>
    </w:rPr>
  </w:style>
  <w:style w:type="paragraph" w:customStyle="1" w:styleId="yIndenta">
    <w:name w:val="yIndent(a)"/>
    <w:basedOn w:val="Indenta"/>
    <w:rPr>
      <w:sz w:val="22"/>
    </w:rPr>
  </w:style>
  <w:style w:type="paragraph" w:customStyle="1" w:styleId="yIndentA0">
    <w:name w:val="yIndent(A)"/>
    <w:basedOn w:val="IndentA0"/>
    <w:rPr>
      <w:sz w:val="22"/>
    </w:rPr>
  </w:style>
  <w:style w:type="paragraph" w:customStyle="1" w:styleId="yIndentI">
    <w:name w:val="yIndent(I)"/>
    <w:basedOn w:val="IndentI0"/>
    <w:rPr>
      <w:sz w:val="22"/>
    </w:rPr>
  </w:style>
  <w:style w:type="paragraph" w:customStyle="1" w:styleId="yIndenti0">
    <w:name w:val="yIndent(i)"/>
    <w:basedOn w:val="Indenti"/>
    <w:rPr>
      <w:sz w:val="22"/>
    </w:rPr>
  </w:style>
  <w:style w:type="paragraph" w:customStyle="1" w:styleId="zIndenta">
    <w:name w:val="zIndent(a)"/>
    <w:basedOn w:val="Indenta"/>
    <w:pPr>
      <w:pBdr>
        <w:left w:val="threeDEngrave" w:sz="24" w:space="4" w:color="auto"/>
        <w:right w:val="threeDEmboss" w:sz="24" w:space="4" w:color="auto"/>
      </w:pBdr>
      <w:shd w:val="pct12" w:color="808080" w:fill="FFFFFF"/>
    </w:pPr>
  </w:style>
  <w:style w:type="paragraph" w:customStyle="1" w:styleId="zIndentA0">
    <w:name w:val="zIndent(A)"/>
    <w:basedOn w:val="IndentA0"/>
    <w:pPr>
      <w:pBdr>
        <w:left w:val="threeDEngrave" w:sz="24" w:space="4" w:color="auto"/>
        <w:right w:val="threeDEmboss" w:sz="24" w:space="4" w:color="auto"/>
      </w:pBdr>
      <w:shd w:val="pct12" w:color="808080" w:fill="FFFFFF"/>
    </w:pPr>
  </w:style>
  <w:style w:type="paragraph" w:customStyle="1" w:styleId="zIndenti">
    <w:name w:val="zIndent(i)"/>
    <w:basedOn w:val="Indenti"/>
    <w:pPr>
      <w:pBdr>
        <w:left w:val="threeDEngrave" w:sz="24" w:space="4" w:color="auto"/>
        <w:right w:val="threeDEmboss" w:sz="24" w:space="4" w:color="auto"/>
      </w:pBdr>
      <w:shd w:val="pct12" w:color="808080" w:fill="FFFFFF"/>
    </w:pPr>
  </w:style>
  <w:style w:type="paragraph" w:customStyle="1" w:styleId="zIndentI0">
    <w:name w:val="zIndent(I)"/>
    <w:basedOn w:val="IndentI0"/>
    <w:pPr>
      <w:pBdr>
        <w:left w:val="threeDEngrave" w:sz="24" w:space="4" w:color="auto"/>
        <w:right w:val="threeDEmboss" w:sz="24" w:space="4" w:color="auto"/>
      </w:pBdr>
      <w:shd w:val="pct12" w:color="808080" w:fill="FFFFFF"/>
    </w:pPr>
  </w:style>
  <w:style w:type="paragraph" w:customStyle="1" w:styleId="yPenstart">
    <w:name w:val="yPenstart"/>
    <w:basedOn w:val="Penstart"/>
    <w:rPr>
      <w:sz w:val="22"/>
    </w:rPr>
  </w:style>
  <w:style w:type="paragraph" w:customStyle="1" w:styleId="yPenpara">
    <w:name w:val="yPenpara"/>
    <w:basedOn w:val="Penpara"/>
    <w:rPr>
      <w:sz w:val="22"/>
    </w:rPr>
  </w:style>
  <w:style w:type="paragraph" w:customStyle="1" w:styleId="yPensubpara">
    <w:name w:val="yPensubpara"/>
    <w:basedOn w:val="Pensubpara"/>
    <w:rPr>
      <w:sz w:val="22"/>
    </w:rPr>
  </w:style>
  <w:style w:type="paragraph" w:customStyle="1" w:styleId="yPenitem">
    <w:name w:val="yPenitem"/>
    <w:basedOn w:val="Penitem"/>
    <w:rPr>
      <w:sz w:val="22"/>
    </w:rPr>
  </w:style>
  <w:style w:type="paragraph" w:customStyle="1" w:styleId="zPenpara">
    <w:name w:val="zPenpara"/>
    <w:basedOn w:val="Penpara"/>
    <w:pPr>
      <w:pBdr>
        <w:left w:val="threeDEngrave" w:sz="24" w:space="4" w:color="auto"/>
        <w:right w:val="threeDEmboss" w:sz="24" w:space="4" w:color="auto"/>
      </w:pBdr>
      <w:shd w:val="pct12" w:color="808080" w:fill="FFFFFF"/>
    </w:pPr>
  </w:style>
  <w:style w:type="paragraph" w:customStyle="1" w:styleId="zPensubpara">
    <w:name w:val="zPensubpara"/>
    <w:basedOn w:val="Pensubpara"/>
    <w:pPr>
      <w:pBdr>
        <w:left w:val="threeDEngrave" w:sz="24" w:space="4" w:color="auto"/>
        <w:right w:val="threeDEmboss" w:sz="24" w:space="4" w:color="auto"/>
      </w:pBdr>
      <w:shd w:val="pct12" w:color="808080" w:fill="FFFFFF"/>
    </w:pPr>
  </w:style>
  <w:style w:type="paragraph" w:customStyle="1" w:styleId="zPenitem">
    <w:name w:val="zPenitem"/>
    <w:basedOn w:val="Penitem"/>
    <w:pPr>
      <w:pBdr>
        <w:left w:val="threeDEngrave" w:sz="24" w:space="4" w:color="auto"/>
        <w:right w:val="threeDEmboss" w:sz="24" w:space="4" w:color="auto"/>
      </w:pBdr>
      <w:shd w:val="pct12" w:color="808080" w:fill="FFFFFF"/>
    </w:pPr>
  </w:style>
  <w:style w:type="paragraph" w:customStyle="1" w:styleId="yDefpara">
    <w:name w:val="yDefpara"/>
    <w:basedOn w:val="Defpara"/>
    <w:rPr>
      <w:sz w:val="22"/>
    </w:rPr>
  </w:style>
  <w:style w:type="paragraph" w:customStyle="1" w:styleId="yDefstart">
    <w:name w:val="yDefstart"/>
    <w:basedOn w:val="Defstart"/>
    <w:rPr>
      <w:sz w:val="22"/>
    </w:rPr>
  </w:style>
  <w:style w:type="paragraph" w:customStyle="1" w:styleId="yDefsubpara">
    <w:name w:val="yDefsubpara"/>
    <w:basedOn w:val="Defsubpara"/>
    <w:rPr>
      <w:sz w:val="22"/>
    </w:rPr>
  </w:style>
  <w:style w:type="paragraph" w:customStyle="1" w:styleId="yDefitem">
    <w:name w:val="yDefitem"/>
    <w:basedOn w:val="Defitem"/>
    <w:rPr>
      <w:sz w:val="22"/>
    </w:rPr>
  </w:style>
  <w:style w:type="paragraph" w:customStyle="1" w:styleId="zDefstart">
    <w:name w:val="zDefstart"/>
    <w:basedOn w:val="Normal"/>
    <w:pPr>
      <w:tabs>
        <w:tab w:val="left" w:pos="312"/>
      </w:tabs>
      <w:spacing w:before="80" w:line="260" w:lineRule="atLeast"/>
      <w:ind w:left="1446" w:right="284" w:hanging="312"/>
    </w:pPr>
    <w:rPr>
      <w:snapToGrid w:val="0"/>
      <w:sz w:val="24"/>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sz w:val="24"/>
    </w:rPr>
  </w:style>
  <w:style w:type="paragraph" w:customStyle="1" w:styleId="zDefsubpara">
    <w:name w:val="zDefsubpara"/>
    <w:basedOn w:val="Normal"/>
    <w:pPr>
      <w:keepLines/>
      <w:tabs>
        <w:tab w:val="right" w:pos="2608"/>
        <w:tab w:val="left" w:pos="2892"/>
      </w:tabs>
      <w:spacing w:before="80" w:line="260" w:lineRule="atLeast"/>
      <w:ind w:left="2892" w:right="284" w:hanging="851"/>
    </w:pPr>
    <w:rPr>
      <w:sz w:val="24"/>
    </w:rPr>
  </w:style>
  <w:style w:type="paragraph" w:customStyle="1" w:styleId="zDefitem">
    <w:name w:val="zDefitem"/>
    <w:basedOn w:val="Normal"/>
    <w:pPr>
      <w:tabs>
        <w:tab w:val="right" w:pos="3459"/>
        <w:tab w:val="left" w:pos="3771"/>
      </w:tabs>
      <w:spacing w:before="80" w:line="260" w:lineRule="atLeast"/>
      <w:ind w:left="3686" w:right="284" w:hanging="851"/>
    </w:pPr>
    <w:rPr>
      <w:sz w:val="24"/>
    </w:rPr>
  </w:style>
  <w:style w:type="paragraph" w:customStyle="1" w:styleId="zyDefpara">
    <w:name w:val="zyDefpara"/>
    <w:basedOn w:val="zDefpara"/>
    <w:rPr>
      <w:sz w:val="22"/>
    </w:rPr>
  </w:style>
  <w:style w:type="paragraph" w:customStyle="1" w:styleId="zyDefstart">
    <w:name w:val="zyDefstart"/>
    <w:basedOn w:val="zDefstart"/>
    <w:rPr>
      <w:sz w:val="22"/>
    </w:rPr>
  </w:style>
  <w:style w:type="paragraph" w:customStyle="1" w:styleId="zyDefsubpara">
    <w:name w:val="zyDefsubpara"/>
    <w:basedOn w:val="zDefsubpara"/>
    <w:rPr>
      <w:snapToGrid w:val="0"/>
      <w:sz w:val="22"/>
    </w:rPr>
  </w:style>
  <w:style w:type="paragraph" w:customStyle="1" w:styleId="zyHeading1">
    <w:name w:val="zyHeading 1"/>
    <w:basedOn w:val="zHeading1"/>
    <w:rPr>
      <w:sz w:val="32"/>
    </w:rPr>
  </w:style>
  <w:style w:type="paragraph" w:customStyle="1" w:styleId="zyHeading2">
    <w:name w:val="zyHeading 2"/>
    <w:basedOn w:val="zHeading2"/>
    <w:rPr>
      <w:sz w:val="28"/>
    </w:rPr>
  </w:style>
  <w:style w:type="paragraph" w:customStyle="1" w:styleId="zyHeading3">
    <w:name w:val="zyHeading 3"/>
    <w:basedOn w:val="zHeading3"/>
    <w:rPr>
      <w:sz w:val="24"/>
    </w:rPr>
  </w:style>
  <w:style w:type="paragraph" w:customStyle="1" w:styleId="zyHeading4">
    <w:name w:val="zyHeading 4"/>
    <w:basedOn w:val="zHeading4"/>
    <w:rPr>
      <w:sz w:val="22"/>
    </w:rPr>
  </w:style>
  <w:style w:type="paragraph" w:customStyle="1" w:styleId="zyHeading5">
    <w:name w:val="zyHeading 5"/>
    <w:basedOn w:val="zHeading5"/>
    <w:rPr>
      <w:sz w:val="22"/>
    </w:rPr>
  </w:style>
  <w:style w:type="paragraph" w:customStyle="1" w:styleId="zyIndenta">
    <w:name w:val="zyIndent(a)"/>
    <w:basedOn w:val="zIndenta"/>
    <w:rPr>
      <w:sz w:val="22"/>
    </w:rPr>
  </w:style>
  <w:style w:type="paragraph" w:customStyle="1" w:styleId="zyIndentA0">
    <w:name w:val="zyIndent(A)"/>
    <w:basedOn w:val="zIndentA0"/>
    <w:rPr>
      <w:sz w:val="22"/>
    </w:rPr>
  </w:style>
  <w:style w:type="paragraph" w:customStyle="1" w:styleId="zyIndenti">
    <w:name w:val="zyIndent(i)"/>
    <w:basedOn w:val="zIndenti"/>
    <w:rPr>
      <w:sz w:val="22"/>
    </w:rPr>
  </w:style>
  <w:style w:type="paragraph" w:customStyle="1" w:styleId="zyIndentI0">
    <w:name w:val="zyIndent(I)"/>
    <w:basedOn w:val="zIndentI0"/>
    <w:rPr>
      <w:sz w:val="22"/>
    </w:rPr>
  </w:style>
  <w:style w:type="paragraph" w:customStyle="1" w:styleId="zyPenitem">
    <w:name w:val="zyPenitem"/>
    <w:basedOn w:val="zPenitem"/>
    <w:rPr>
      <w:sz w:val="22"/>
    </w:rPr>
  </w:style>
  <w:style w:type="paragraph" w:customStyle="1" w:styleId="zyPenpara">
    <w:name w:val="zyPenpara"/>
    <w:basedOn w:val="zPenpara"/>
    <w:rPr>
      <w:sz w:val="22"/>
    </w:rPr>
  </w:style>
  <w:style w:type="paragraph" w:customStyle="1" w:styleId="zyPenstart">
    <w:name w:val="zyPenstart"/>
    <w:basedOn w:val="zPenstart"/>
    <w:rPr>
      <w:sz w:val="22"/>
    </w:rPr>
  </w:style>
  <w:style w:type="paragraph" w:customStyle="1" w:styleId="zyPensubpara">
    <w:name w:val="zyPensubpara"/>
    <w:basedOn w:val="zPensubpara"/>
    <w:rPr>
      <w:sz w:val="22"/>
    </w:rPr>
  </w:style>
  <w:style w:type="paragraph" w:customStyle="1" w:styleId="zySubsection">
    <w:name w:val="zySubsection"/>
    <w:basedOn w:val="zSubsection"/>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noProof w:val="0"/>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noProof w:val="0"/>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rPr>
      <w:sz w:val="24"/>
    </w:rPr>
  </w:style>
  <w:style w:type="paragraph" w:styleId="NoteHeading">
    <w:name w:val="Note Heading"/>
    <w:basedOn w:val="Normal"/>
    <w:next w:val="Normal"/>
    <w:rPr>
      <w:sz w:val="24"/>
    </w:rPr>
  </w:style>
  <w:style w:type="paragraph" w:styleId="Salutation">
    <w:name w:val="Salutation"/>
    <w:basedOn w:val="Normal"/>
    <w:next w:val="Normal"/>
    <w:semiHidden/>
    <w:rPr>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rPr>
      <w:sz w:val="24"/>
    </w:rPr>
  </w:style>
  <w:style w:type="paragraph" w:styleId="TableofFigures">
    <w:name w:val="table of figures"/>
    <w:basedOn w:val="Normal"/>
    <w:next w:val="Normal"/>
    <w:semiHidden/>
    <w:pPr>
      <w:ind w:left="440" w:hanging="440"/>
    </w:pPr>
    <w:rPr>
      <w:sz w:val="24"/>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outlineLvl w:val="9"/>
    </w:pPr>
    <w:rPr>
      <w:sz w:val="22"/>
    </w:rPr>
  </w:style>
  <w:style w:type="paragraph" w:customStyle="1" w:styleId="yEdnotepara">
    <w:name w:val="yEdnote(para)"/>
    <w:basedOn w:val="Ednotepara"/>
    <w:rPr>
      <w:sz w:val="22"/>
    </w:rPr>
  </w:style>
  <w:style w:type="paragraph" w:customStyle="1" w:styleId="yEdnotesubpara">
    <w:name w:val="yEdnote(subpara)"/>
    <w:basedOn w:val="Ednotesubpara"/>
    <w:rPr>
      <w:sz w:val="22"/>
    </w:rPr>
  </w:style>
  <w:style w:type="paragraph" w:customStyle="1" w:styleId="yEdnoteitem">
    <w:name w:val="yEdnote(item)"/>
    <w:basedOn w:val="Ednoteitem"/>
    <w:rPr>
      <w:sz w:val="22"/>
    </w:rPr>
  </w:style>
  <w:style w:type="paragraph" w:customStyle="1" w:styleId="yEdnotesubitem">
    <w:name w:val="yEdnote(subitem)"/>
    <w:basedOn w:val="Ednotesubitem"/>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rPr>
      <w:sz w:val="22"/>
    </w:rPr>
  </w:style>
  <w:style w:type="paragraph" w:customStyle="1" w:styleId="nHeading2">
    <w:name w:val="nHeading 2"/>
    <w:basedOn w:val="Heading2"/>
    <w:pPr>
      <w:pageBreakBefore w:val="0"/>
    </w:pPr>
    <w:rPr>
      <w:sz w:val="26"/>
    </w:rPr>
  </w:style>
  <w:style w:type="paragraph" w:customStyle="1" w:styleId="nHeading3">
    <w:name w:val="nHeading 3"/>
    <w:basedOn w:val="Heading3"/>
    <w:rPr>
      <w:sz w:val="22"/>
    </w:rPr>
  </w:style>
  <w:style w:type="paragraph" w:customStyle="1" w:styleId="nHeading4">
    <w:name w:val="nHeading 4"/>
    <w:basedOn w:val="Heading4"/>
    <w:rPr>
      <w:sz w:val="20"/>
    </w:rPr>
  </w:style>
  <w:style w:type="paragraph" w:customStyle="1" w:styleId="nHeading5">
    <w:name w:val="nHeading 5"/>
    <w:basedOn w:val="Heading5"/>
    <w:rPr>
      <w:sz w:val="20"/>
    </w:rPr>
  </w:style>
  <w:style w:type="paragraph" w:customStyle="1" w:styleId="nIndenta">
    <w:name w:val="nIndent(a)"/>
    <w:basedOn w:val="Indenta"/>
    <w:rPr>
      <w:sz w:val="20"/>
    </w:rPr>
  </w:style>
  <w:style w:type="paragraph" w:customStyle="1" w:styleId="nIndenti">
    <w:name w:val="nIndent(i)"/>
    <w:basedOn w:val="Indenti"/>
    <w:rPr>
      <w:sz w:val="20"/>
    </w:rPr>
  </w:style>
  <w:style w:type="paragraph" w:customStyle="1" w:styleId="nSubsection">
    <w:name w:val="nSubsection"/>
    <w:basedOn w:val="Subsection"/>
    <w:pPr>
      <w:tabs>
        <w:tab w:val="clear" w:pos="605"/>
        <w:tab w:val="clear" w:pos="893"/>
        <w:tab w:val="left" w:pos="461"/>
      </w:tabs>
      <w:ind w:left="461" w:hanging="461"/>
    </w:pPr>
    <w:rPr>
      <w:sz w:val="20"/>
    </w:rPr>
  </w:style>
  <w:style w:type="paragraph" w:customStyle="1" w:styleId="nzDefpara">
    <w:name w:val="nzDefpara"/>
    <w:basedOn w:val="zDefpara"/>
    <w:rPr>
      <w:sz w:val="20"/>
    </w:rPr>
  </w:style>
  <w:style w:type="paragraph" w:customStyle="1" w:styleId="nzDefstart">
    <w:name w:val="nzDefstart"/>
    <w:basedOn w:val="zDefstart"/>
    <w:rPr>
      <w:sz w:val="20"/>
    </w:rPr>
  </w:style>
  <w:style w:type="paragraph" w:customStyle="1" w:styleId="nzDefsubpara">
    <w:name w:val="nzDefsubpara"/>
    <w:basedOn w:val="zDefsubpara"/>
    <w:rPr>
      <w:sz w:val="20"/>
    </w:rPr>
  </w:style>
  <w:style w:type="paragraph" w:customStyle="1" w:styleId="MiscOpen">
    <w:name w:val="MiscOpen"/>
    <w:pPr>
      <w:keepNext/>
      <w:keepLines/>
      <w:tabs>
        <w:tab w:val="left" w:pos="893"/>
      </w:tabs>
      <w:spacing w:before="160" w:line="260" w:lineRule="atLeast"/>
    </w:pPr>
    <w:rPr>
      <w:sz w:val="22"/>
    </w:rPr>
  </w:style>
  <w:style w:type="paragraph" w:customStyle="1" w:styleId="Ednotesubsection">
    <w:name w:val="Ednote(subsection)"/>
    <w:basedOn w:val="Ednotesection"/>
    <w:pPr>
      <w:outlineLvl w:val="9"/>
    </w:pPr>
  </w:style>
  <w:style w:type="paragraph" w:customStyle="1" w:styleId="MiscellaneousHeading">
    <w:name w:val="Miscellaneous Heading"/>
    <w:pPr>
      <w:spacing w:before="160" w:line="260" w:lineRule="atLeast"/>
    </w:pPr>
    <w:rPr>
      <w:sz w:val="24"/>
    </w:rPr>
  </w:style>
  <w:style w:type="paragraph" w:customStyle="1" w:styleId="nzHeading2">
    <w:name w:val="nzHeading 2"/>
    <w:basedOn w:val="zHeading2"/>
    <w:rPr>
      <w:sz w:val="26"/>
    </w:rPr>
  </w:style>
  <w:style w:type="paragraph" w:customStyle="1" w:styleId="nzHeading3">
    <w:name w:val="nzHeading 3"/>
    <w:basedOn w:val="zHeading3"/>
    <w:rPr>
      <w:sz w:val="22"/>
    </w:rPr>
  </w:style>
  <w:style w:type="paragraph" w:customStyle="1" w:styleId="nzHeading4">
    <w:name w:val="nzHeading 4"/>
    <w:basedOn w:val="zHeading4"/>
    <w:rPr>
      <w:sz w:val="20"/>
    </w:rPr>
  </w:style>
  <w:style w:type="paragraph" w:customStyle="1" w:styleId="nzHeading5">
    <w:name w:val="nzHeading 5"/>
    <w:basedOn w:val="zHeading5"/>
    <w:rPr>
      <w:sz w:val="20"/>
    </w:rPr>
  </w:style>
  <w:style w:type="paragraph" w:customStyle="1" w:styleId="nzIndenta">
    <w:name w:val="nzIndent(a)"/>
    <w:basedOn w:val="zIndenta"/>
    <w:rPr>
      <w:sz w:val="20"/>
    </w:rPr>
  </w:style>
  <w:style w:type="paragraph" w:customStyle="1" w:styleId="nzIndentA0">
    <w:name w:val="nzIndent(A)"/>
    <w:basedOn w:val="zIndentA0"/>
    <w:rPr>
      <w:sz w:val="20"/>
    </w:rPr>
  </w:style>
  <w:style w:type="paragraph" w:customStyle="1" w:styleId="nzIndenti">
    <w:name w:val="nzIndent(i)"/>
    <w:basedOn w:val="zIndenti"/>
    <w:rPr>
      <w:sz w:val="20"/>
    </w:rPr>
  </w:style>
  <w:style w:type="paragraph" w:customStyle="1" w:styleId="nzIndentI0">
    <w:name w:val="nzIndent(I)"/>
    <w:basedOn w:val="zIndentI0"/>
    <w:rPr>
      <w:sz w:val="20"/>
    </w:rPr>
  </w:style>
  <w:style w:type="paragraph" w:customStyle="1" w:styleId="nzPenpara">
    <w:name w:val="nzPenpara"/>
    <w:basedOn w:val="zPenpara"/>
    <w:rPr>
      <w:sz w:val="20"/>
    </w:rPr>
  </w:style>
  <w:style w:type="paragraph" w:customStyle="1" w:styleId="nzPenstart">
    <w:name w:val="nzPenstart"/>
    <w:basedOn w:val="zPenstart"/>
    <w:rPr>
      <w:sz w:val="20"/>
    </w:rPr>
  </w:style>
  <w:style w:type="paragraph" w:customStyle="1" w:styleId="nzSubsection">
    <w:name w:val="nzSubsection"/>
    <w:basedOn w:val="zSubsection"/>
    <w:rPr>
      <w:sz w:val="20"/>
    </w:rPr>
  </w:style>
  <w:style w:type="paragraph" w:customStyle="1" w:styleId="MiscellaneousBody">
    <w:name w:val="Miscellaneous Body"/>
    <w:basedOn w:val="MiscellaneousHeading"/>
  </w:style>
  <w:style w:type="paragraph" w:customStyle="1" w:styleId="MiscellaneousFootnotes">
    <w:name w:val="Miscellaneous Footnotes"/>
    <w:basedOn w:val="MiscellaneousHeading"/>
  </w:style>
  <w:style w:type="paragraph" w:customStyle="1" w:styleId="yShoulderClause">
    <w:name w:val="yShoulderClause"/>
    <w:next w:val="ySubsection"/>
    <w:pPr>
      <w:spacing w:before="120" w:line="260" w:lineRule="atLeast"/>
      <w:jc w:val="right"/>
    </w:pPr>
    <w:rPr>
      <w:sz w:val="22"/>
    </w:rPr>
  </w:style>
  <w:style w:type="paragraph" w:customStyle="1" w:styleId="yScheduleHeading">
    <w:name w:val="yScheduleHeading"/>
    <w:basedOn w:val="yHeading2"/>
    <w:pPr>
      <w:pageBreakBefore/>
      <w:outlineLvl w:val="1"/>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rPr>
      <w:sz w:val="22"/>
    </w:rPr>
  </w:style>
  <w:style w:type="paragraph" w:customStyle="1" w:styleId="nTable">
    <w:name w:val="nTable"/>
    <w:basedOn w:val="Table"/>
    <w:rPr>
      <w:sz w:val="19"/>
    </w:rPr>
  </w:style>
  <w:style w:type="paragraph" w:customStyle="1" w:styleId="nzTable">
    <w:name w:val="nzTable"/>
  </w:style>
  <w:style w:type="paragraph" w:customStyle="1" w:styleId="zMiscellaneousHeading">
    <w:name w:val="zMiscellaneousHeading"/>
    <w:basedOn w:val="zSubsection"/>
  </w:style>
  <w:style w:type="paragraph" w:customStyle="1" w:styleId="zMiscellaneousBody">
    <w:name w:val="zMiscellaneousBody"/>
    <w:basedOn w:val="zSubsection"/>
  </w:style>
  <w:style w:type="character" w:customStyle="1" w:styleId="CharDefText">
    <w:name w:val="CharDefText"/>
    <w:basedOn w:val="DefaultParagraphFont"/>
    <w:rPr>
      <w:b/>
      <w:i/>
      <w:noProof w:val="0"/>
      <w:sz w:val="22"/>
    </w:rPr>
  </w:style>
  <w:style w:type="paragraph" w:customStyle="1" w:styleId="yFootnoteheading">
    <w:name w:val="yFootnote(heading)"/>
    <w:basedOn w:val="Footnoteheading"/>
    <w:rPr>
      <w:sz w:val="22"/>
    </w:rPr>
  </w:style>
  <w:style w:type="paragraph" w:customStyle="1" w:styleId="TableAm">
    <w:name w:val="TableAm"/>
    <w:basedOn w:val="Normal"/>
    <w:pPr>
      <w:spacing w:before="120"/>
    </w:pPr>
    <w:rPr>
      <w:sz w:val="24"/>
    </w:rPr>
  </w:style>
  <w:style w:type="paragraph" w:customStyle="1" w:styleId="TableAmNote">
    <w:name w:val="TableAmNote"/>
    <w:basedOn w:val="Normal"/>
    <w:pPr>
      <w:spacing w:before="60"/>
    </w:pPr>
    <w:rPr>
      <w:rFonts w:ascii="Arial" w:hAnsi="Arial"/>
      <w:sz w:val="18"/>
    </w:rPr>
  </w:style>
  <w:style w:type="paragraph" w:customStyle="1" w:styleId="BlankOpen">
    <w:name w:val="BlankOpen"/>
    <w:basedOn w:val="Normal"/>
    <w:pPr>
      <w:keepNext/>
      <w:keepLines/>
      <w:jc w:val="center"/>
    </w:pPr>
    <w:rPr>
      <w:sz w:val="24"/>
      <w:szCs w:val="24"/>
    </w:rPr>
  </w:style>
  <w:style w:type="paragraph" w:customStyle="1" w:styleId="BlankClose">
    <w:name w:val="BlankClose"/>
    <w:basedOn w:val="Normal"/>
    <w:pPr>
      <w:keepLines/>
      <w:jc w:val="center"/>
    </w:pPr>
    <w:rPr>
      <w:sz w:val="24"/>
      <w:szCs w:val="24"/>
    </w:rPr>
  </w:style>
  <w:style w:type="paragraph" w:customStyle="1" w:styleId="PrincipalActRegPage1">
    <w:name w:val="PrincipalAct_Reg(Page 1)"/>
    <w:pPr>
      <w:spacing w:before="2600"/>
      <w:jc w:val="center"/>
    </w:pPr>
    <w:rPr>
      <w:sz w:val="24"/>
    </w:rPr>
  </w:style>
  <w:style w:type="character" w:customStyle="1" w:styleId="CharSchText">
    <w:name w:val="CharSchText"/>
    <w:rPr>
      <w:noProof w:val="0"/>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Words>
  <Characters>1301</Characters>
  <Application>Microsoft Office Word</Application>
  <DocSecurity>0</DocSecurity>
  <Lines>59</Lines>
  <Paragraphs>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Fremantle Reserves Surrender Act 1912 - 00-a0-13</dc:title>
  <dc:subject/>
  <dc:creator/>
  <cp:keywords/>
  <dc:description/>
  <cp:lastModifiedBy>svcMRProcess</cp:lastModifiedBy>
  <cp:revision>4</cp:revision>
  <cp:lastPrinted>1998-01-02T03:50:00Z</cp:lastPrinted>
  <dcterms:created xsi:type="dcterms:W3CDTF">2019-01-21T05:00:00Z</dcterms:created>
  <dcterms:modified xsi:type="dcterms:W3CDTF">2019-01-21T05:00:00Z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37 of 1912</vt:lpwstr>
  </property>
  <property fmtid="{D5CDD505-2E9C-101B-9397-08002B2CF9AE}" pid="3" name="CommencementDate">
    <vt:lpwstr>19980706</vt:lpwstr>
  </property>
  <property fmtid="{D5CDD505-2E9C-101B-9397-08002B2CF9AE}" pid="4" name="DocumentType">
    <vt:lpwstr>Act</vt:lpwstr>
  </property>
  <property fmtid="{D5CDD505-2E9C-101B-9397-08002B2CF9AE}" pid="5" name="AsAtDate">
    <vt:lpwstr>06 Jul 1998</vt:lpwstr>
  </property>
  <property fmtid="{D5CDD505-2E9C-101B-9397-08002B2CF9AE}" pid="6" name="Suffix">
    <vt:lpwstr>00-a0-13</vt:lpwstr>
  </property>
</Properties>
</file>