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Australia</w:t>
      </w:r>
    </w:p>
    <w:p>
      <w:pPr>
        <w:pStyle w:val="NameofActRegPage1"/>
        <w:spacing w:before="3760" w:after="4200"/>
      </w:pPr>
      <w:r>
        <w:fldChar w:fldCharType="begin"/>
      </w:r>
      <w:r>
        <w:instrText xml:space="preserve"> STYLEREF "Name Of Act/Reg"</w:instrText>
      </w:r>
      <w:r>
        <w:fldChar w:fldCharType="separate"/>
      </w:r>
      <w:r>
        <w:rPr>
          <w:noProof/>
        </w:rPr>
        <w:t>Fuel Suppliers Licensing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Fuel Suppliers Licensing Act 1997</w:t>
      </w:r>
    </w:p>
    <w:p>
      <w:pPr>
        <w:pStyle w:val="Arrangement"/>
      </w:pPr>
      <w:r>
        <w:t>CONTENTS</w:t>
      </w:r>
    </w:p>
    <w:p>
      <w:pPr>
        <w:pStyle w:val="TOC2"/>
        <w:tabs>
          <w:tab w:val="right" w:leader="dot" w:pos="7078"/>
        </w:tabs>
        <w:rPr>
          <w:noProof/>
        </w:rPr>
      </w:pPr>
      <w:r>
        <w:rPr>
          <w:noProof/>
        </w:rPr>
        <w:t>Part 1 — Preliminary</w:t>
      </w:r>
    </w:p>
    <w:p>
      <w:pPr>
        <w:pStyle w:val="TOC4"/>
        <w:tabs>
          <w:tab w:val="left" w:pos="1701"/>
        </w:tabs>
        <w:rPr>
          <w:noProof/>
        </w:rPr>
      </w:pPr>
      <w:r>
        <w:rPr>
          <w:noProof/>
        </w:rPr>
        <w:t>1</w:t>
      </w:r>
      <w:r>
        <w:rPr>
          <w:noProof/>
          <w:snapToGrid w:val="0"/>
        </w:rPr>
        <w:t>.</w:t>
      </w:r>
      <w:r>
        <w:rPr>
          <w:noProof/>
        </w:rPr>
        <w:tab/>
      </w:r>
      <w:r>
        <w:rPr>
          <w:noProof/>
          <w:snapToGrid w:val="0"/>
        </w:rPr>
        <w:t>Short title</w:t>
      </w:r>
      <w:r>
        <w:rPr>
          <w:noProof/>
        </w:rPr>
        <w:tab/>
        <w:t>2</w:t>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t>2</w:t>
      </w:r>
    </w:p>
    <w:p>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t>2</w:t>
      </w:r>
    </w:p>
    <w:p>
      <w:pPr>
        <w:pStyle w:val="TOC4"/>
        <w:tabs>
          <w:tab w:val="left" w:pos="1701"/>
        </w:tabs>
        <w:rPr>
          <w:noProof/>
        </w:rPr>
      </w:pPr>
      <w:r>
        <w:rPr>
          <w:noProof/>
        </w:rPr>
        <w:t>4</w:t>
      </w:r>
      <w:r>
        <w:rPr>
          <w:noProof/>
          <w:snapToGrid w:val="0"/>
        </w:rPr>
        <w:t>.</w:t>
      </w:r>
      <w:r>
        <w:rPr>
          <w:noProof/>
        </w:rPr>
        <w:tab/>
      </w:r>
      <w:r>
        <w:rPr>
          <w:noProof/>
          <w:snapToGrid w:val="0"/>
        </w:rPr>
        <w:t>Supply at the subsidized price</w:t>
      </w:r>
      <w:r>
        <w:rPr>
          <w:noProof/>
        </w:rPr>
        <w:tab/>
        <w:t>4</w:t>
      </w:r>
    </w:p>
    <w:p>
      <w:pPr>
        <w:pStyle w:val="TOC4"/>
        <w:tabs>
          <w:tab w:val="left" w:pos="1701"/>
        </w:tabs>
        <w:rPr>
          <w:noProof/>
        </w:rPr>
      </w:pPr>
      <w:r>
        <w:rPr>
          <w:noProof/>
        </w:rPr>
        <w:t>5</w:t>
      </w:r>
      <w:r>
        <w:rPr>
          <w:noProof/>
          <w:snapToGrid w:val="0"/>
        </w:rPr>
        <w:t>.</w:t>
      </w:r>
      <w:r>
        <w:rPr>
          <w:noProof/>
        </w:rPr>
        <w:tab/>
      </w:r>
      <w:r>
        <w:rPr>
          <w:noProof/>
          <w:snapToGrid w:val="0"/>
        </w:rPr>
        <w:t>Crown bound</w:t>
      </w:r>
      <w:r>
        <w:rPr>
          <w:noProof/>
        </w:rPr>
        <w:tab/>
        <w:t>4</w:t>
      </w:r>
    </w:p>
    <w:p>
      <w:pPr>
        <w:pStyle w:val="TOC2"/>
        <w:tabs>
          <w:tab w:val="right" w:leader="dot" w:pos="7078"/>
        </w:tabs>
        <w:rPr>
          <w:noProof/>
        </w:rPr>
      </w:pPr>
      <w:r>
        <w:rPr>
          <w:noProof/>
        </w:rPr>
        <w:t>Part 2 — Suppliers of fuel</w:t>
      </w:r>
    </w:p>
    <w:p>
      <w:pPr>
        <w:pStyle w:val="TOC4"/>
        <w:tabs>
          <w:tab w:val="left" w:pos="1701"/>
        </w:tabs>
        <w:rPr>
          <w:noProof/>
        </w:rPr>
      </w:pPr>
      <w:r>
        <w:rPr>
          <w:noProof/>
        </w:rPr>
        <w:t>6</w:t>
      </w:r>
      <w:r>
        <w:rPr>
          <w:noProof/>
          <w:snapToGrid w:val="0"/>
        </w:rPr>
        <w:t>.</w:t>
      </w:r>
      <w:r>
        <w:rPr>
          <w:noProof/>
        </w:rPr>
        <w:tab/>
      </w:r>
      <w:r>
        <w:rPr>
          <w:noProof/>
          <w:snapToGrid w:val="0"/>
        </w:rPr>
        <w:t>Suppliers of fuel to be licensed</w:t>
      </w:r>
      <w:r>
        <w:rPr>
          <w:noProof/>
        </w:rPr>
        <w:tab/>
        <w:t>5</w:t>
      </w:r>
    </w:p>
    <w:p>
      <w:pPr>
        <w:pStyle w:val="TOC4"/>
        <w:tabs>
          <w:tab w:val="left" w:pos="1701"/>
        </w:tabs>
        <w:rPr>
          <w:noProof/>
        </w:rPr>
      </w:pPr>
      <w:r>
        <w:rPr>
          <w:noProof/>
        </w:rPr>
        <w:t>7</w:t>
      </w:r>
      <w:r>
        <w:rPr>
          <w:noProof/>
          <w:snapToGrid w:val="0"/>
        </w:rPr>
        <w:t>.</w:t>
      </w:r>
      <w:r>
        <w:rPr>
          <w:noProof/>
        </w:rPr>
        <w:tab/>
      </w:r>
      <w:r>
        <w:rPr>
          <w:noProof/>
          <w:snapToGrid w:val="0"/>
        </w:rPr>
        <w:t>Applying for a fuel supplier’s licence</w:t>
      </w:r>
      <w:r>
        <w:rPr>
          <w:noProof/>
        </w:rPr>
        <w:tab/>
        <w:t>5</w:t>
      </w:r>
    </w:p>
    <w:p>
      <w:pPr>
        <w:pStyle w:val="TOC4"/>
        <w:tabs>
          <w:tab w:val="left" w:pos="1701"/>
        </w:tabs>
        <w:rPr>
          <w:noProof/>
        </w:rPr>
      </w:pPr>
      <w:r>
        <w:rPr>
          <w:noProof/>
        </w:rPr>
        <w:t>8</w:t>
      </w:r>
      <w:r>
        <w:rPr>
          <w:noProof/>
          <w:snapToGrid w:val="0"/>
        </w:rPr>
        <w:t>.</w:t>
      </w:r>
      <w:r>
        <w:rPr>
          <w:noProof/>
        </w:rPr>
        <w:tab/>
      </w:r>
      <w:r>
        <w:rPr>
          <w:noProof/>
          <w:snapToGrid w:val="0"/>
        </w:rPr>
        <w:t>Issue of a fuel supplier’s licence</w:t>
      </w:r>
      <w:r>
        <w:rPr>
          <w:noProof/>
        </w:rPr>
        <w:tab/>
        <w:t>6</w:t>
      </w:r>
    </w:p>
    <w:p>
      <w:pPr>
        <w:pStyle w:val="TOC4"/>
        <w:tabs>
          <w:tab w:val="left" w:pos="1701"/>
        </w:tabs>
        <w:rPr>
          <w:noProof/>
        </w:rPr>
      </w:pPr>
      <w:r>
        <w:rPr>
          <w:noProof/>
        </w:rPr>
        <w:t>9</w:t>
      </w:r>
      <w:r>
        <w:rPr>
          <w:noProof/>
          <w:snapToGrid w:val="0"/>
        </w:rPr>
        <w:t>.</w:t>
      </w:r>
      <w:r>
        <w:rPr>
          <w:noProof/>
        </w:rPr>
        <w:tab/>
      </w:r>
      <w:r>
        <w:rPr>
          <w:noProof/>
          <w:snapToGrid w:val="0"/>
        </w:rPr>
        <w:t>Conditions of a fuel supplier’s licence</w:t>
      </w:r>
      <w:r>
        <w:rPr>
          <w:noProof/>
        </w:rPr>
        <w:tab/>
        <w:t>6</w:t>
      </w:r>
    </w:p>
    <w:p>
      <w:pPr>
        <w:pStyle w:val="TOC4"/>
        <w:tabs>
          <w:tab w:val="left" w:pos="1701"/>
        </w:tabs>
        <w:rPr>
          <w:noProof/>
        </w:rPr>
      </w:pPr>
      <w:r>
        <w:rPr>
          <w:noProof/>
        </w:rPr>
        <w:t>10</w:t>
      </w:r>
      <w:r>
        <w:rPr>
          <w:noProof/>
          <w:snapToGrid w:val="0"/>
        </w:rPr>
        <w:t>.</w:t>
      </w:r>
      <w:r>
        <w:rPr>
          <w:noProof/>
        </w:rPr>
        <w:tab/>
      </w:r>
      <w:r>
        <w:rPr>
          <w:noProof/>
          <w:snapToGrid w:val="0"/>
        </w:rPr>
        <w:t>Diesel supply conditions</w:t>
      </w:r>
      <w:r>
        <w:rPr>
          <w:noProof/>
        </w:rPr>
        <w:tab/>
        <w:t>6</w:t>
      </w:r>
    </w:p>
    <w:p>
      <w:pPr>
        <w:pStyle w:val="TOC4"/>
        <w:tabs>
          <w:tab w:val="left" w:pos="1701"/>
        </w:tabs>
        <w:rPr>
          <w:noProof/>
        </w:rPr>
      </w:pPr>
      <w:r>
        <w:rPr>
          <w:noProof/>
        </w:rPr>
        <w:t>11</w:t>
      </w:r>
      <w:r>
        <w:rPr>
          <w:noProof/>
          <w:snapToGrid w:val="0"/>
        </w:rPr>
        <w:t>.</w:t>
      </w:r>
      <w:r>
        <w:rPr>
          <w:noProof/>
        </w:rPr>
        <w:tab/>
      </w:r>
      <w:r>
        <w:rPr>
          <w:noProof/>
          <w:snapToGrid w:val="0"/>
        </w:rPr>
        <w:t>ORD compensation conditions</w:t>
      </w:r>
      <w:r>
        <w:rPr>
          <w:noProof/>
        </w:rPr>
        <w:tab/>
        <w:t>7</w:t>
      </w:r>
    </w:p>
    <w:p>
      <w:pPr>
        <w:pStyle w:val="TOC4"/>
        <w:tabs>
          <w:tab w:val="left" w:pos="1701"/>
        </w:tabs>
        <w:rPr>
          <w:noProof/>
        </w:rPr>
      </w:pPr>
      <w:r>
        <w:rPr>
          <w:noProof/>
        </w:rPr>
        <w:t>12</w:t>
      </w:r>
      <w:r>
        <w:rPr>
          <w:noProof/>
          <w:snapToGrid w:val="0"/>
        </w:rPr>
        <w:t>.</w:t>
      </w:r>
      <w:r>
        <w:rPr>
          <w:noProof/>
        </w:rPr>
        <w:tab/>
      </w:r>
      <w:r>
        <w:rPr>
          <w:noProof/>
          <w:snapToGrid w:val="0"/>
        </w:rPr>
        <w:t>Diesel record conditions</w:t>
      </w:r>
      <w:r>
        <w:rPr>
          <w:noProof/>
        </w:rPr>
        <w:tab/>
        <w:t>7</w:t>
      </w:r>
    </w:p>
    <w:p>
      <w:pPr>
        <w:pStyle w:val="TOC4"/>
        <w:tabs>
          <w:tab w:val="left" w:pos="1701"/>
        </w:tabs>
        <w:rPr>
          <w:noProof/>
        </w:rPr>
      </w:pPr>
      <w:r>
        <w:rPr>
          <w:noProof/>
        </w:rPr>
        <w:t>13</w:t>
      </w:r>
      <w:r>
        <w:rPr>
          <w:noProof/>
          <w:snapToGrid w:val="0"/>
        </w:rPr>
        <w:t>.</w:t>
      </w:r>
      <w:r>
        <w:rPr>
          <w:noProof/>
        </w:rPr>
        <w:tab/>
      </w:r>
      <w:r>
        <w:rPr>
          <w:noProof/>
          <w:snapToGrid w:val="0"/>
        </w:rPr>
        <w:t>Form of compensation</w:t>
      </w:r>
      <w:r>
        <w:rPr>
          <w:noProof/>
        </w:rPr>
        <w:tab/>
        <w:t>8</w:t>
      </w:r>
    </w:p>
    <w:p>
      <w:pPr>
        <w:pStyle w:val="TOC2"/>
        <w:tabs>
          <w:tab w:val="right" w:leader="dot" w:pos="7078"/>
        </w:tabs>
        <w:rPr>
          <w:noProof/>
        </w:rPr>
      </w:pPr>
      <w:r>
        <w:rPr>
          <w:noProof/>
        </w:rPr>
        <w:t>Part 3 — Distributors of off</w:t>
      </w:r>
      <w:r>
        <w:rPr>
          <w:noProof/>
        </w:rPr>
        <w:noBreakHyphen/>
        <w:t>road diesel</w:t>
      </w:r>
    </w:p>
    <w:p>
      <w:pPr>
        <w:pStyle w:val="TOC4"/>
        <w:tabs>
          <w:tab w:val="left" w:pos="1701"/>
        </w:tabs>
        <w:rPr>
          <w:noProof/>
        </w:rPr>
      </w:pPr>
      <w:r>
        <w:rPr>
          <w:noProof/>
        </w:rPr>
        <w:t>14</w:t>
      </w:r>
      <w:r>
        <w:rPr>
          <w:noProof/>
          <w:snapToGrid w:val="0"/>
        </w:rPr>
        <w:t>.</w:t>
      </w:r>
      <w:r>
        <w:rPr>
          <w:noProof/>
        </w:rPr>
        <w:tab/>
      </w:r>
      <w:r>
        <w:rPr>
          <w:noProof/>
          <w:snapToGrid w:val="0"/>
        </w:rPr>
        <w:t>Who may apply for an ORD distributor’s authority</w:t>
      </w:r>
      <w:r>
        <w:rPr>
          <w:noProof/>
        </w:rPr>
        <w:tab/>
        <w:t>9</w:t>
      </w:r>
    </w:p>
    <w:p>
      <w:pPr>
        <w:pStyle w:val="TOC4"/>
        <w:tabs>
          <w:tab w:val="left" w:pos="1701"/>
        </w:tabs>
        <w:rPr>
          <w:noProof/>
        </w:rPr>
      </w:pPr>
      <w:r>
        <w:rPr>
          <w:noProof/>
        </w:rPr>
        <w:t>15</w:t>
      </w:r>
      <w:r>
        <w:rPr>
          <w:noProof/>
          <w:snapToGrid w:val="0"/>
        </w:rPr>
        <w:t>.</w:t>
      </w:r>
      <w:r>
        <w:rPr>
          <w:noProof/>
        </w:rPr>
        <w:tab/>
      </w:r>
      <w:r>
        <w:rPr>
          <w:noProof/>
          <w:snapToGrid w:val="0"/>
        </w:rPr>
        <w:t>Applying for an ORD distributor’s authority</w:t>
      </w:r>
      <w:r>
        <w:rPr>
          <w:noProof/>
        </w:rPr>
        <w:tab/>
        <w:t>9</w:t>
      </w:r>
    </w:p>
    <w:p>
      <w:pPr>
        <w:pStyle w:val="TOC4"/>
        <w:tabs>
          <w:tab w:val="left" w:pos="1701"/>
        </w:tabs>
        <w:rPr>
          <w:noProof/>
        </w:rPr>
      </w:pPr>
      <w:r>
        <w:rPr>
          <w:noProof/>
        </w:rPr>
        <w:t>16</w:t>
      </w:r>
      <w:r>
        <w:rPr>
          <w:noProof/>
          <w:snapToGrid w:val="0"/>
        </w:rPr>
        <w:t>.</w:t>
      </w:r>
      <w:r>
        <w:rPr>
          <w:noProof/>
        </w:rPr>
        <w:tab/>
      </w:r>
      <w:r>
        <w:rPr>
          <w:noProof/>
          <w:snapToGrid w:val="0"/>
        </w:rPr>
        <w:t>Issue of an ORD distributor’s authority</w:t>
      </w:r>
      <w:r>
        <w:rPr>
          <w:noProof/>
        </w:rPr>
        <w:tab/>
        <w:t>9</w:t>
      </w:r>
    </w:p>
    <w:p>
      <w:pPr>
        <w:pStyle w:val="TOC4"/>
        <w:tabs>
          <w:tab w:val="left" w:pos="1701"/>
        </w:tabs>
        <w:rPr>
          <w:noProof/>
        </w:rPr>
      </w:pPr>
      <w:r>
        <w:rPr>
          <w:noProof/>
        </w:rPr>
        <w:t>17</w:t>
      </w:r>
      <w:r>
        <w:rPr>
          <w:noProof/>
          <w:snapToGrid w:val="0"/>
        </w:rPr>
        <w:t>.</w:t>
      </w:r>
      <w:r>
        <w:rPr>
          <w:noProof/>
        </w:rPr>
        <w:tab/>
      </w:r>
      <w:r>
        <w:rPr>
          <w:noProof/>
          <w:snapToGrid w:val="0"/>
        </w:rPr>
        <w:t>Conditions of an ORD distributor’s authority</w:t>
      </w:r>
      <w:r>
        <w:rPr>
          <w:noProof/>
        </w:rPr>
        <w:tab/>
        <w:t>9</w:t>
      </w:r>
    </w:p>
    <w:p>
      <w:pPr>
        <w:pStyle w:val="TOC4"/>
        <w:tabs>
          <w:tab w:val="left" w:pos="1701"/>
        </w:tabs>
        <w:rPr>
          <w:noProof/>
        </w:rPr>
      </w:pPr>
      <w:r>
        <w:rPr>
          <w:noProof/>
        </w:rPr>
        <w:t>18</w:t>
      </w:r>
      <w:r>
        <w:rPr>
          <w:noProof/>
          <w:snapToGrid w:val="0"/>
        </w:rPr>
        <w:t>.</w:t>
      </w:r>
      <w:r>
        <w:rPr>
          <w:noProof/>
        </w:rPr>
        <w:tab/>
      </w:r>
      <w:r>
        <w:rPr>
          <w:noProof/>
          <w:snapToGrid w:val="0"/>
        </w:rPr>
        <w:t>Diesel supply condition</w:t>
      </w:r>
      <w:r>
        <w:rPr>
          <w:noProof/>
        </w:rPr>
        <w:tab/>
        <w:t>10</w:t>
      </w:r>
    </w:p>
    <w:p>
      <w:pPr>
        <w:pStyle w:val="TOC4"/>
        <w:tabs>
          <w:tab w:val="left" w:pos="1701"/>
        </w:tabs>
        <w:rPr>
          <w:noProof/>
        </w:rPr>
      </w:pPr>
      <w:r>
        <w:rPr>
          <w:noProof/>
        </w:rPr>
        <w:t>19</w:t>
      </w:r>
      <w:r>
        <w:rPr>
          <w:noProof/>
          <w:snapToGrid w:val="0"/>
        </w:rPr>
        <w:t>.</w:t>
      </w:r>
      <w:r>
        <w:rPr>
          <w:noProof/>
        </w:rPr>
        <w:tab/>
      </w:r>
      <w:r>
        <w:rPr>
          <w:noProof/>
          <w:snapToGrid w:val="0"/>
        </w:rPr>
        <w:t>ORD compensation conditions</w:t>
      </w:r>
      <w:r>
        <w:rPr>
          <w:noProof/>
        </w:rPr>
        <w:tab/>
        <w:t>10</w:t>
      </w:r>
    </w:p>
    <w:p>
      <w:pPr>
        <w:pStyle w:val="TOC4"/>
        <w:tabs>
          <w:tab w:val="left" w:pos="1701"/>
        </w:tabs>
        <w:rPr>
          <w:noProof/>
        </w:rPr>
      </w:pPr>
      <w:r>
        <w:rPr>
          <w:noProof/>
        </w:rPr>
        <w:t>20</w:t>
      </w:r>
      <w:r>
        <w:rPr>
          <w:noProof/>
          <w:snapToGrid w:val="0"/>
        </w:rPr>
        <w:t>.</w:t>
      </w:r>
      <w:r>
        <w:rPr>
          <w:noProof/>
        </w:rPr>
        <w:tab/>
      </w:r>
      <w:r>
        <w:rPr>
          <w:noProof/>
          <w:snapToGrid w:val="0"/>
        </w:rPr>
        <w:t>Compensation request conditions</w:t>
      </w:r>
      <w:r>
        <w:rPr>
          <w:noProof/>
        </w:rPr>
        <w:tab/>
        <w:t>10</w:t>
      </w:r>
    </w:p>
    <w:p>
      <w:pPr>
        <w:pStyle w:val="TOC4"/>
        <w:tabs>
          <w:tab w:val="left" w:pos="1701"/>
        </w:tabs>
        <w:rPr>
          <w:noProof/>
        </w:rPr>
      </w:pPr>
      <w:r>
        <w:rPr>
          <w:noProof/>
        </w:rPr>
        <w:lastRenderedPageBreak/>
        <w:t>21</w:t>
      </w:r>
      <w:r>
        <w:rPr>
          <w:noProof/>
          <w:snapToGrid w:val="0"/>
        </w:rPr>
        <w:t>.</w:t>
      </w:r>
      <w:r>
        <w:rPr>
          <w:noProof/>
        </w:rPr>
        <w:tab/>
      </w:r>
      <w:r>
        <w:rPr>
          <w:noProof/>
          <w:snapToGrid w:val="0"/>
        </w:rPr>
        <w:t>Diesel record conditions</w:t>
      </w:r>
      <w:r>
        <w:rPr>
          <w:noProof/>
        </w:rPr>
        <w:tab/>
        <w:t>12</w:t>
      </w:r>
    </w:p>
    <w:p>
      <w:pPr>
        <w:pStyle w:val="TOC4"/>
        <w:tabs>
          <w:tab w:val="left" w:pos="1701"/>
        </w:tabs>
        <w:rPr>
          <w:noProof/>
        </w:rPr>
      </w:pPr>
      <w:r>
        <w:rPr>
          <w:noProof/>
        </w:rPr>
        <w:t>22</w:t>
      </w:r>
      <w:r>
        <w:rPr>
          <w:noProof/>
          <w:snapToGrid w:val="0"/>
        </w:rPr>
        <w:t>.</w:t>
      </w:r>
      <w:r>
        <w:rPr>
          <w:noProof/>
        </w:rPr>
        <w:tab/>
      </w:r>
      <w:r>
        <w:rPr>
          <w:noProof/>
          <w:snapToGrid w:val="0"/>
        </w:rPr>
        <w:t>Form of compensation</w:t>
      </w:r>
      <w:r>
        <w:rPr>
          <w:noProof/>
        </w:rPr>
        <w:tab/>
        <w:t>12</w:t>
      </w:r>
    </w:p>
    <w:p>
      <w:pPr>
        <w:pStyle w:val="TOC4"/>
        <w:tabs>
          <w:tab w:val="left" w:pos="1701"/>
        </w:tabs>
        <w:rPr>
          <w:noProof/>
        </w:rPr>
      </w:pPr>
      <w:r>
        <w:rPr>
          <w:noProof/>
        </w:rPr>
        <w:t>23</w:t>
      </w:r>
      <w:r>
        <w:rPr>
          <w:noProof/>
          <w:snapToGrid w:val="0"/>
        </w:rPr>
        <w:t>.</w:t>
      </w:r>
      <w:r>
        <w:rPr>
          <w:noProof/>
        </w:rPr>
        <w:tab/>
      </w:r>
      <w:r>
        <w:rPr>
          <w:noProof/>
          <w:snapToGrid w:val="0"/>
        </w:rPr>
        <w:t>Correcting incorrect requests for compensation</w:t>
      </w:r>
      <w:r>
        <w:rPr>
          <w:noProof/>
        </w:rPr>
        <w:tab/>
        <w:t>12</w:t>
      </w:r>
    </w:p>
    <w:p>
      <w:pPr>
        <w:pStyle w:val="TOC4"/>
        <w:tabs>
          <w:tab w:val="left" w:pos="1701"/>
        </w:tabs>
        <w:rPr>
          <w:noProof/>
        </w:rPr>
      </w:pPr>
      <w:r>
        <w:rPr>
          <w:noProof/>
        </w:rPr>
        <w:t>24</w:t>
      </w:r>
      <w:r>
        <w:rPr>
          <w:noProof/>
          <w:snapToGrid w:val="0"/>
        </w:rPr>
        <w:t>.</w:t>
      </w:r>
      <w:r>
        <w:rPr>
          <w:noProof/>
        </w:rPr>
        <w:tab/>
      </w:r>
      <w:r>
        <w:rPr>
          <w:noProof/>
          <w:snapToGrid w:val="0"/>
        </w:rPr>
        <w:t>Failure to correct incorrect requests</w:t>
      </w:r>
      <w:r>
        <w:rPr>
          <w:noProof/>
        </w:rPr>
        <w:tab/>
        <w:t>13</w:t>
      </w:r>
    </w:p>
    <w:p>
      <w:pPr>
        <w:pStyle w:val="TOC4"/>
        <w:tabs>
          <w:tab w:val="left" w:pos="1701"/>
        </w:tabs>
        <w:rPr>
          <w:noProof/>
        </w:rPr>
      </w:pPr>
      <w:r>
        <w:rPr>
          <w:noProof/>
        </w:rPr>
        <w:t>25</w:t>
      </w:r>
      <w:r>
        <w:rPr>
          <w:noProof/>
          <w:snapToGrid w:val="0"/>
        </w:rPr>
        <w:t>.</w:t>
      </w:r>
      <w:r>
        <w:rPr>
          <w:noProof/>
        </w:rPr>
        <w:tab/>
      </w:r>
      <w:r>
        <w:rPr>
          <w:noProof/>
          <w:snapToGrid w:val="0"/>
        </w:rPr>
        <w:t>Compensation may be recovered</w:t>
      </w:r>
      <w:r>
        <w:rPr>
          <w:noProof/>
        </w:rPr>
        <w:tab/>
        <w:t>14</w:t>
      </w:r>
    </w:p>
    <w:p>
      <w:pPr>
        <w:pStyle w:val="TOC2"/>
        <w:tabs>
          <w:tab w:val="right" w:leader="dot" w:pos="7078"/>
        </w:tabs>
        <w:rPr>
          <w:noProof/>
        </w:rPr>
      </w:pPr>
      <w:r>
        <w:rPr>
          <w:noProof/>
        </w:rPr>
        <w:t>Part 4 — Users of off</w:t>
      </w:r>
      <w:r>
        <w:rPr>
          <w:noProof/>
        </w:rPr>
        <w:noBreakHyphen/>
        <w:t>road diesel</w:t>
      </w:r>
    </w:p>
    <w:p>
      <w:pPr>
        <w:pStyle w:val="TOC4"/>
        <w:tabs>
          <w:tab w:val="left" w:pos="1701"/>
        </w:tabs>
        <w:rPr>
          <w:noProof/>
        </w:rPr>
      </w:pPr>
      <w:r>
        <w:rPr>
          <w:noProof/>
        </w:rPr>
        <w:t>26</w:t>
      </w:r>
      <w:r>
        <w:rPr>
          <w:noProof/>
          <w:snapToGrid w:val="0"/>
        </w:rPr>
        <w:t>.</w:t>
      </w:r>
      <w:r>
        <w:rPr>
          <w:noProof/>
        </w:rPr>
        <w:tab/>
      </w:r>
      <w:r>
        <w:rPr>
          <w:noProof/>
          <w:snapToGrid w:val="0"/>
        </w:rPr>
        <w:t>Who may apply for an ORD user’s certificate</w:t>
      </w:r>
      <w:r>
        <w:rPr>
          <w:noProof/>
        </w:rPr>
        <w:tab/>
        <w:t>15</w:t>
      </w:r>
    </w:p>
    <w:p>
      <w:pPr>
        <w:pStyle w:val="TOC4"/>
        <w:tabs>
          <w:tab w:val="left" w:pos="1701"/>
        </w:tabs>
        <w:rPr>
          <w:noProof/>
        </w:rPr>
      </w:pPr>
      <w:r>
        <w:rPr>
          <w:noProof/>
        </w:rPr>
        <w:t>27</w:t>
      </w:r>
      <w:r>
        <w:rPr>
          <w:noProof/>
          <w:snapToGrid w:val="0"/>
        </w:rPr>
        <w:t>.</w:t>
      </w:r>
      <w:r>
        <w:rPr>
          <w:noProof/>
        </w:rPr>
        <w:tab/>
      </w:r>
      <w:r>
        <w:rPr>
          <w:noProof/>
          <w:snapToGrid w:val="0"/>
        </w:rPr>
        <w:t>Applying for an ORD user’s certificate</w:t>
      </w:r>
      <w:r>
        <w:rPr>
          <w:noProof/>
        </w:rPr>
        <w:tab/>
        <w:t>15</w:t>
      </w:r>
    </w:p>
    <w:p>
      <w:pPr>
        <w:pStyle w:val="TOC4"/>
        <w:tabs>
          <w:tab w:val="left" w:pos="1701"/>
        </w:tabs>
        <w:rPr>
          <w:noProof/>
        </w:rPr>
      </w:pPr>
      <w:r>
        <w:rPr>
          <w:noProof/>
        </w:rPr>
        <w:t>28</w:t>
      </w:r>
      <w:r>
        <w:rPr>
          <w:noProof/>
          <w:snapToGrid w:val="0"/>
        </w:rPr>
        <w:t>.</w:t>
      </w:r>
      <w:r>
        <w:rPr>
          <w:noProof/>
        </w:rPr>
        <w:tab/>
      </w:r>
      <w:r>
        <w:rPr>
          <w:noProof/>
          <w:snapToGrid w:val="0"/>
        </w:rPr>
        <w:t>Issue of an ORD user’s certificate</w:t>
      </w:r>
      <w:r>
        <w:rPr>
          <w:noProof/>
        </w:rPr>
        <w:tab/>
        <w:t>15</w:t>
      </w:r>
    </w:p>
    <w:p>
      <w:pPr>
        <w:pStyle w:val="TOC4"/>
        <w:tabs>
          <w:tab w:val="left" w:pos="1701"/>
        </w:tabs>
        <w:rPr>
          <w:noProof/>
        </w:rPr>
      </w:pPr>
      <w:r>
        <w:rPr>
          <w:noProof/>
        </w:rPr>
        <w:t>29</w:t>
      </w:r>
      <w:r>
        <w:rPr>
          <w:noProof/>
          <w:snapToGrid w:val="0"/>
        </w:rPr>
        <w:t>.</w:t>
      </w:r>
      <w:r>
        <w:rPr>
          <w:noProof/>
        </w:rPr>
        <w:tab/>
      </w:r>
      <w:r>
        <w:rPr>
          <w:noProof/>
          <w:snapToGrid w:val="0"/>
        </w:rPr>
        <w:t>Conditions of an ORD user’s certificate</w:t>
      </w:r>
      <w:r>
        <w:rPr>
          <w:noProof/>
        </w:rPr>
        <w:tab/>
        <w:t>15</w:t>
      </w:r>
    </w:p>
    <w:p>
      <w:pPr>
        <w:pStyle w:val="TOC4"/>
        <w:tabs>
          <w:tab w:val="left" w:pos="1701"/>
        </w:tabs>
        <w:rPr>
          <w:noProof/>
        </w:rPr>
      </w:pPr>
      <w:r>
        <w:rPr>
          <w:noProof/>
        </w:rPr>
        <w:t>30</w:t>
      </w:r>
      <w:r>
        <w:rPr>
          <w:noProof/>
          <w:snapToGrid w:val="0"/>
        </w:rPr>
        <w:t>.</w:t>
      </w:r>
      <w:r>
        <w:rPr>
          <w:noProof/>
        </w:rPr>
        <w:tab/>
      </w:r>
      <w:r>
        <w:rPr>
          <w:noProof/>
          <w:snapToGrid w:val="0"/>
        </w:rPr>
        <w:t>Diesel acquisition conditions</w:t>
      </w:r>
      <w:r>
        <w:rPr>
          <w:noProof/>
        </w:rPr>
        <w:tab/>
        <w:t>16</w:t>
      </w:r>
    </w:p>
    <w:p>
      <w:pPr>
        <w:pStyle w:val="TOC4"/>
        <w:tabs>
          <w:tab w:val="left" w:pos="1701"/>
        </w:tabs>
        <w:rPr>
          <w:noProof/>
        </w:rPr>
      </w:pPr>
      <w:r>
        <w:rPr>
          <w:noProof/>
        </w:rPr>
        <w:t>31</w:t>
      </w:r>
      <w:r>
        <w:rPr>
          <w:noProof/>
          <w:snapToGrid w:val="0"/>
        </w:rPr>
        <w:t>.</w:t>
      </w:r>
      <w:r>
        <w:rPr>
          <w:noProof/>
        </w:rPr>
        <w:tab/>
      </w:r>
      <w:r>
        <w:rPr>
          <w:noProof/>
          <w:snapToGrid w:val="0"/>
        </w:rPr>
        <w:t>Diesel use conditions</w:t>
      </w:r>
      <w:r>
        <w:rPr>
          <w:noProof/>
        </w:rPr>
        <w:tab/>
        <w:t>17</w:t>
      </w:r>
    </w:p>
    <w:p>
      <w:pPr>
        <w:pStyle w:val="TOC4"/>
        <w:tabs>
          <w:tab w:val="left" w:pos="1701"/>
        </w:tabs>
        <w:rPr>
          <w:noProof/>
        </w:rPr>
      </w:pPr>
      <w:r>
        <w:rPr>
          <w:noProof/>
        </w:rPr>
        <w:t>32</w:t>
      </w:r>
      <w:r>
        <w:rPr>
          <w:noProof/>
          <w:snapToGrid w:val="0"/>
        </w:rPr>
        <w:t>.</w:t>
      </w:r>
      <w:r>
        <w:rPr>
          <w:noProof/>
        </w:rPr>
        <w:tab/>
      </w:r>
      <w:r>
        <w:rPr>
          <w:noProof/>
          <w:snapToGrid w:val="0"/>
        </w:rPr>
        <w:t>Correcting breaches of diesel use conditions</w:t>
      </w:r>
      <w:r>
        <w:rPr>
          <w:noProof/>
        </w:rPr>
        <w:tab/>
        <w:t>18</w:t>
      </w:r>
    </w:p>
    <w:p>
      <w:pPr>
        <w:pStyle w:val="TOC4"/>
        <w:tabs>
          <w:tab w:val="left" w:pos="1701"/>
        </w:tabs>
        <w:rPr>
          <w:noProof/>
        </w:rPr>
      </w:pPr>
      <w:r>
        <w:rPr>
          <w:noProof/>
        </w:rPr>
        <w:t>33</w:t>
      </w:r>
      <w:r>
        <w:rPr>
          <w:noProof/>
          <w:snapToGrid w:val="0"/>
        </w:rPr>
        <w:t>.</w:t>
      </w:r>
      <w:r>
        <w:rPr>
          <w:noProof/>
        </w:rPr>
        <w:tab/>
      </w:r>
      <w:r>
        <w:rPr>
          <w:noProof/>
          <w:snapToGrid w:val="0"/>
        </w:rPr>
        <w:t>Failure to correct breach</w:t>
      </w:r>
      <w:r>
        <w:rPr>
          <w:noProof/>
        </w:rPr>
        <w:tab/>
        <w:t>18</w:t>
      </w:r>
    </w:p>
    <w:p>
      <w:pPr>
        <w:pStyle w:val="TOC2"/>
        <w:tabs>
          <w:tab w:val="right" w:leader="dot" w:pos="7078"/>
        </w:tabs>
        <w:rPr>
          <w:noProof/>
        </w:rPr>
      </w:pPr>
      <w:r>
        <w:rPr>
          <w:noProof/>
        </w:rPr>
        <w:t>Part 5 — General provisions applying to permits</w:t>
      </w:r>
    </w:p>
    <w:p>
      <w:pPr>
        <w:pStyle w:val="TOC4"/>
        <w:tabs>
          <w:tab w:val="left" w:pos="1701"/>
        </w:tabs>
        <w:rPr>
          <w:noProof/>
        </w:rPr>
      </w:pPr>
      <w:r>
        <w:rPr>
          <w:noProof/>
        </w:rPr>
        <w:t>34</w:t>
      </w:r>
      <w:r>
        <w:rPr>
          <w:noProof/>
          <w:snapToGrid w:val="0"/>
        </w:rPr>
        <w:t>.</w:t>
      </w:r>
      <w:r>
        <w:rPr>
          <w:noProof/>
        </w:rPr>
        <w:tab/>
      </w:r>
      <w:r>
        <w:rPr>
          <w:noProof/>
          <w:snapToGrid w:val="0"/>
        </w:rPr>
        <w:t>Commissioner may request information from applicant</w:t>
      </w:r>
      <w:r>
        <w:rPr>
          <w:noProof/>
        </w:rPr>
        <w:tab/>
        <w:t>19</w:t>
      </w:r>
    </w:p>
    <w:p>
      <w:pPr>
        <w:pStyle w:val="TOC4"/>
        <w:tabs>
          <w:tab w:val="left" w:pos="1701"/>
        </w:tabs>
        <w:rPr>
          <w:noProof/>
        </w:rPr>
      </w:pPr>
      <w:r>
        <w:rPr>
          <w:noProof/>
        </w:rPr>
        <w:t>35</w:t>
      </w:r>
      <w:r>
        <w:rPr>
          <w:noProof/>
          <w:snapToGrid w:val="0"/>
        </w:rPr>
        <w:t>.</w:t>
      </w:r>
      <w:r>
        <w:rPr>
          <w:noProof/>
        </w:rPr>
        <w:tab/>
      </w:r>
      <w:r>
        <w:rPr>
          <w:noProof/>
          <w:snapToGrid w:val="0"/>
        </w:rPr>
        <w:t>Form of permit</w:t>
      </w:r>
      <w:r>
        <w:rPr>
          <w:noProof/>
        </w:rPr>
        <w:tab/>
        <w:t>19</w:t>
      </w:r>
    </w:p>
    <w:p>
      <w:pPr>
        <w:pStyle w:val="TOC4"/>
        <w:tabs>
          <w:tab w:val="left" w:pos="1701"/>
        </w:tabs>
        <w:rPr>
          <w:noProof/>
        </w:rPr>
      </w:pPr>
      <w:r>
        <w:rPr>
          <w:noProof/>
        </w:rPr>
        <w:t>36</w:t>
      </w:r>
      <w:r>
        <w:rPr>
          <w:noProof/>
          <w:snapToGrid w:val="0"/>
        </w:rPr>
        <w:t>.</w:t>
      </w:r>
      <w:r>
        <w:rPr>
          <w:noProof/>
        </w:rPr>
        <w:tab/>
      </w:r>
      <w:r>
        <w:rPr>
          <w:noProof/>
          <w:snapToGrid w:val="0"/>
        </w:rPr>
        <w:t>Commissioner may refuse to issue permit</w:t>
      </w:r>
      <w:r>
        <w:rPr>
          <w:noProof/>
        </w:rPr>
        <w:tab/>
        <w:t>19</w:t>
      </w:r>
    </w:p>
    <w:p>
      <w:pPr>
        <w:pStyle w:val="TOC4"/>
        <w:tabs>
          <w:tab w:val="left" w:pos="1701"/>
        </w:tabs>
        <w:rPr>
          <w:noProof/>
        </w:rPr>
      </w:pPr>
      <w:r>
        <w:rPr>
          <w:noProof/>
        </w:rPr>
        <w:t>37</w:t>
      </w:r>
      <w:r>
        <w:rPr>
          <w:noProof/>
          <w:snapToGrid w:val="0"/>
        </w:rPr>
        <w:t>.</w:t>
      </w:r>
      <w:r>
        <w:rPr>
          <w:noProof/>
        </w:rPr>
        <w:tab/>
      </w:r>
      <w:r>
        <w:rPr>
          <w:noProof/>
          <w:snapToGrid w:val="0"/>
        </w:rPr>
        <w:t>Commissioner’s conditions</w:t>
      </w:r>
      <w:r>
        <w:rPr>
          <w:noProof/>
        </w:rPr>
        <w:tab/>
        <w:t>19</w:t>
      </w:r>
    </w:p>
    <w:p>
      <w:pPr>
        <w:pStyle w:val="TOC4"/>
        <w:tabs>
          <w:tab w:val="left" w:pos="1701"/>
        </w:tabs>
        <w:rPr>
          <w:noProof/>
        </w:rPr>
      </w:pPr>
      <w:r>
        <w:rPr>
          <w:noProof/>
        </w:rPr>
        <w:t>38</w:t>
      </w:r>
      <w:r>
        <w:rPr>
          <w:noProof/>
          <w:snapToGrid w:val="0"/>
        </w:rPr>
        <w:t>.</w:t>
      </w:r>
      <w:r>
        <w:rPr>
          <w:noProof/>
        </w:rPr>
        <w:tab/>
      </w:r>
      <w:r>
        <w:rPr>
          <w:noProof/>
          <w:snapToGrid w:val="0"/>
        </w:rPr>
        <w:t>Permits to be handed in if holder no longer eligible</w:t>
      </w:r>
      <w:r>
        <w:rPr>
          <w:noProof/>
        </w:rPr>
        <w:tab/>
        <w:t>20</w:t>
      </w:r>
    </w:p>
    <w:p>
      <w:pPr>
        <w:pStyle w:val="TOC4"/>
        <w:tabs>
          <w:tab w:val="left" w:pos="1701"/>
        </w:tabs>
        <w:rPr>
          <w:noProof/>
        </w:rPr>
      </w:pPr>
      <w:r>
        <w:rPr>
          <w:noProof/>
        </w:rPr>
        <w:t>39</w:t>
      </w:r>
      <w:r>
        <w:rPr>
          <w:noProof/>
          <w:snapToGrid w:val="0"/>
        </w:rPr>
        <w:t>.</w:t>
      </w:r>
      <w:r>
        <w:rPr>
          <w:noProof/>
        </w:rPr>
        <w:tab/>
      </w:r>
      <w:r>
        <w:rPr>
          <w:noProof/>
          <w:snapToGrid w:val="0"/>
        </w:rPr>
        <w:t>Lost permits</w:t>
      </w:r>
      <w:r>
        <w:rPr>
          <w:noProof/>
        </w:rPr>
        <w:tab/>
        <w:t>20</w:t>
      </w:r>
    </w:p>
    <w:p>
      <w:pPr>
        <w:pStyle w:val="TOC4"/>
        <w:tabs>
          <w:tab w:val="left" w:pos="1701"/>
        </w:tabs>
        <w:rPr>
          <w:noProof/>
        </w:rPr>
      </w:pPr>
      <w:r>
        <w:rPr>
          <w:noProof/>
        </w:rPr>
        <w:t>40</w:t>
      </w:r>
      <w:r>
        <w:rPr>
          <w:noProof/>
          <w:snapToGrid w:val="0"/>
        </w:rPr>
        <w:t>.</w:t>
      </w:r>
      <w:r>
        <w:rPr>
          <w:noProof/>
        </w:rPr>
        <w:tab/>
      </w:r>
      <w:r>
        <w:rPr>
          <w:noProof/>
          <w:snapToGrid w:val="0"/>
        </w:rPr>
        <w:t>Automatic cancellation</w:t>
      </w:r>
      <w:r>
        <w:rPr>
          <w:noProof/>
        </w:rPr>
        <w:tab/>
        <w:t>20</w:t>
      </w:r>
    </w:p>
    <w:p>
      <w:pPr>
        <w:pStyle w:val="TOC4"/>
        <w:tabs>
          <w:tab w:val="left" w:pos="1701"/>
        </w:tabs>
        <w:rPr>
          <w:noProof/>
        </w:rPr>
      </w:pPr>
      <w:r>
        <w:rPr>
          <w:noProof/>
        </w:rPr>
        <w:t>41</w:t>
      </w:r>
      <w:r>
        <w:rPr>
          <w:noProof/>
          <w:snapToGrid w:val="0"/>
        </w:rPr>
        <w:t>.</w:t>
      </w:r>
      <w:r>
        <w:rPr>
          <w:noProof/>
        </w:rPr>
        <w:tab/>
      </w:r>
      <w:r>
        <w:rPr>
          <w:noProof/>
          <w:snapToGrid w:val="0"/>
        </w:rPr>
        <w:t>Permit may be cancelled</w:t>
      </w:r>
      <w:r>
        <w:rPr>
          <w:noProof/>
        </w:rPr>
        <w:tab/>
        <w:t>21</w:t>
      </w:r>
    </w:p>
    <w:p>
      <w:pPr>
        <w:pStyle w:val="TOC4"/>
        <w:tabs>
          <w:tab w:val="left" w:pos="1701"/>
        </w:tabs>
        <w:rPr>
          <w:noProof/>
        </w:rPr>
      </w:pPr>
      <w:r>
        <w:rPr>
          <w:noProof/>
        </w:rPr>
        <w:t>42</w:t>
      </w:r>
      <w:r>
        <w:rPr>
          <w:noProof/>
          <w:snapToGrid w:val="0"/>
        </w:rPr>
        <w:t>.</w:t>
      </w:r>
      <w:r>
        <w:rPr>
          <w:noProof/>
        </w:rPr>
        <w:tab/>
      </w:r>
      <w:r>
        <w:rPr>
          <w:noProof/>
          <w:snapToGrid w:val="0"/>
        </w:rPr>
        <w:t>Offences</w:t>
      </w:r>
      <w:r>
        <w:rPr>
          <w:noProof/>
        </w:rPr>
        <w:tab/>
        <w:t>22</w:t>
      </w:r>
    </w:p>
    <w:p>
      <w:pPr>
        <w:pStyle w:val="TOC2"/>
        <w:tabs>
          <w:tab w:val="right" w:leader="dot" w:pos="7078"/>
        </w:tabs>
        <w:rPr>
          <w:noProof/>
        </w:rPr>
      </w:pPr>
      <w:r>
        <w:rPr>
          <w:noProof/>
        </w:rPr>
        <w:t>Part 6 — Diesel subsidies</w:t>
      </w:r>
    </w:p>
    <w:p>
      <w:pPr>
        <w:pStyle w:val="TOC4"/>
        <w:tabs>
          <w:tab w:val="left" w:pos="1701"/>
        </w:tabs>
        <w:rPr>
          <w:noProof/>
        </w:rPr>
      </w:pPr>
      <w:r>
        <w:rPr>
          <w:noProof/>
        </w:rPr>
        <w:t>43</w:t>
      </w:r>
      <w:r>
        <w:rPr>
          <w:noProof/>
          <w:snapToGrid w:val="0"/>
        </w:rPr>
        <w:t>.</w:t>
      </w:r>
      <w:r>
        <w:rPr>
          <w:noProof/>
        </w:rPr>
        <w:tab/>
      </w:r>
      <w:r>
        <w:rPr>
          <w:noProof/>
          <w:snapToGrid w:val="0"/>
        </w:rPr>
        <w:t>Diesel subsidies to licensed suppliers</w:t>
      </w:r>
      <w:r>
        <w:rPr>
          <w:noProof/>
        </w:rPr>
        <w:tab/>
        <w:t>23</w:t>
      </w:r>
    </w:p>
    <w:p>
      <w:pPr>
        <w:pStyle w:val="TOC4"/>
        <w:tabs>
          <w:tab w:val="left" w:pos="1701"/>
        </w:tabs>
        <w:rPr>
          <w:noProof/>
        </w:rPr>
      </w:pPr>
      <w:r>
        <w:rPr>
          <w:noProof/>
        </w:rPr>
        <w:t>44</w:t>
      </w:r>
      <w:r>
        <w:rPr>
          <w:noProof/>
          <w:snapToGrid w:val="0"/>
        </w:rPr>
        <w:t>.</w:t>
      </w:r>
      <w:r>
        <w:rPr>
          <w:noProof/>
        </w:rPr>
        <w:tab/>
      </w:r>
      <w:r>
        <w:rPr>
          <w:noProof/>
          <w:snapToGrid w:val="0"/>
        </w:rPr>
        <w:t>Applying for a subsidy</w:t>
      </w:r>
      <w:r>
        <w:rPr>
          <w:noProof/>
        </w:rPr>
        <w:tab/>
        <w:t>23</w:t>
      </w:r>
    </w:p>
    <w:p>
      <w:pPr>
        <w:pStyle w:val="TOC4"/>
        <w:tabs>
          <w:tab w:val="left" w:pos="1701"/>
        </w:tabs>
        <w:rPr>
          <w:noProof/>
        </w:rPr>
      </w:pPr>
      <w:r>
        <w:rPr>
          <w:noProof/>
        </w:rPr>
        <w:t>45</w:t>
      </w:r>
      <w:r>
        <w:rPr>
          <w:noProof/>
          <w:snapToGrid w:val="0"/>
        </w:rPr>
        <w:t>.</w:t>
      </w:r>
      <w:r>
        <w:rPr>
          <w:noProof/>
        </w:rPr>
        <w:tab/>
      </w:r>
      <w:r>
        <w:rPr>
          <w:noProof/>
          <w:snapToGrid w:val="0"/>
        </w:rPr>
        <w:t>Limits to applying for subsidies</w:t>
      </w:r>
      <w:r>
        <w:rPr>
          <w:noProof/>
        </w:rPr>
        <w:tab/>
        <w:t>24</w:t>
      </w:r>
    </w:p>
    <w:p>
      <w:pPr>
        <w:pStyle w:val="TOC4"/>
        <w:tabs>
          <w:tab w:val="left" w:pos="1701"/>
        </w:tabs>
        <w:rPr>
          <w:noProof/>
        </w:rPr>
      </w:pPr>
      <w:r>
        <w:rPr>
          <w:noProof/>
        </w:rPr>
        <w:t>46</w:t>
      </w:r>
      <w:r>
        <w:rPr>
          <w:noProof/>
          <w:snapToGrid w:val="0"/>
        </w:rPr>
        <w:t>.</w:t>
      </w:r>
      <w:r>
        <w:rPr>
          <w:noProof/>
        </w:rPr>
        <w:tab/>
      </w:r>
      <w:r>
        <w:rPr>
          <w:noProof/>
          <w:snapToGrid w:val="0"/>
        </w:rPr>
        <w:t>Commissioner to pay subsidies</w:t>
      </w:r>
      <w:r>
        <w:rPr>
          <w:noProof/>
        </w:rPr>
        <w:tab/>
        <w:t>24</w:t>
      </w:r>
    </w:p>
    <w:p>
      <w:pPr>
        <w:pStyle w:val="TOC4"/>
        <w:tabs>
          <w:tab w:val="left" w:pos="1701"/>
        </w:tabs>
        <w:rPr>
          <w:noProof/>
        </w:rPr>
      </w:pPr>
      <w:r>
        <w:rPr>
          <w:noProof/>
        </w:rPr>
        <w:t>47</w:t>
      </w:r>
      <w:r>
        <w:rPr>
          <w:noProof/>
          <w:snapToGrid w:val="0"/>
        </w:rPr>
        <w:t>.</w:t>
      </w:r>
      <w:r>
        <w:rPr>
          <w:noProof/>
        </w:rPr>
        <w:tab/>
      </w:r>
      <w:r>
        <w:rPr>
          <w:noProof/>
          <w:snapToGrid w:val="0"/>
        </w:rPr>
        <w:t>Consolidated Fund appropriated</w:t>
      </w:r>
      <w:r>
        <w:rPr>
          <w:noProof/>
        </w:rPr>
        <w:tab/>
        <w:t>25</w:t>
      </w:r>
    </w:p>
    <w:p>
      <w:pPr>
        <w:pStyle w:val="TOC4"/>
        <w:tabs>
          <w:tab w:val="left" w:pos="1701"/>
        </w:tabs>
        <w:rPr>
          <w:noProof/>
        </w:rPr>
      </w:pPr>
      <w:r>
        <w:rPr>
          <w:noProof/>
        </w:rPr>
        <w:t>48</w:t>
      </w:r>
      <w:r>
        <w:rPr>
          <w:noProof/>
          <w:snapToGrid w:val="0"/>
        </w:rPr>
        <w:t>.</w:t>
      </w:r>
      <w:r>
        <w:rPr>
          <w:noProof/>
        </w:rPr>
        <w:tab/>
      </w:r>
      <w:r>
        <w:rPr>
          <w:noProof/>
          <w:snapToGrid w:val="0"/>
        </w:rPr>
        <w:t>Correcting incorrect subsidy applications</w:t>
      </w:r>
      <w:r>
        <w:rPr>
          <w:noProof/>
        </w:rPr>
        <w:tab/>
        <w:t>25</w:t>
      </w:r>
    </w:p>
    <w:p>
      <w:pPr>
        <w:pStyle w:val="TOC4"/>
        <w:tabs>
          <w:tab w:val="left" w:pos="1701"/>
        </w:tabs>
        <w:rPr>
          <w:noProof/>
        </w:rPr>
      </w:pPr>
      <w:r>
        <w:rPr>
          <w:noProof/>
        </w:rPr>
        <w:t>49</w:t>
      </w:r>
      <w:r>
        <w:rPr>
          <w:noProof/>
          <w:snapToGrid w:val="0"/>
        </w:rPr>
        <w:t>.</w:t>
      </w:r>
      <w:r>
        <w:rPr>
          <w:noProof/>
        </w:rPr>
        <w:tab/>
      </w:r>
      <w:r>
        <w:rPr>
          <w:noProof/>
          <w:snapToGrid w:val="0"/>
        </w:rPr>
        <w:t>Failure to correct incorrect subsidy applications</w:t>
      </w:r>
      <w:r>
        <w:rPr>
          <w:noProof/>
        </w:rPr>
        <w:tab/>
        <w:t>26</w:t>
      </w:r>
    </w:p>
    <w:p>
      <w:pPr>
        <w:pStyle w:val="TOC2"/>
        <w:tabs>
          <w:tab w:val="right" w:leader="dot" w:pos="7078"/>
        </w:tabs>
        <w:rPr>
          <w:noProof/>
        </w:rPr>
      </w:pPr>
      <w:r>
        <w:rPr>
          <w:noProof/>
        </w:rPr>
        <w:t>Part 7 — Investigations</w:t>
      </w:r>
    </w:p>
    <w:p>
      <w:pPr>
        <w:pStyle w:val="TOC4"/>
        <w:tabs>
          <w:tab w:val="left" w:pos="1701"/>
        </w:tabs>
        <w:rPr>
          <w:noProof/>
        </w:rPr>
      </w:pPr>
      <w:r>
        <w:rPr>
          <w:noProof/>
        </w:rPr>
        <w:t>50</w:t>
      </w:r>
      <w:r>
        <w:rPr>
          <w:noProof/>
          <w:snapToGrid w:val="0"/>
        </w:rPr>
        <w:t>.</w:t>
      </w:r>
      <w:r>
        <w:rPr>
          <w:noProof/>
        </w:rPr>
        <w:tab/>
      </w:r>
      <w:r>
        <w:rPr>
          <w:noProof/>
          <w:snapToGrid w:val="0"/>
        </w:rPr>
        <w:t>Interpretation</w:t>
      </w:r>
      <w:r>
        <w:rPr>
          <w:noProof/>
        </w:rPr>
        <w:tab/>
        <w:t>27</w:t>
      </w:r>
    </w:p>
    <w:p>
      <w:pPr>
        <w:pStyle w:val="TOC4"/>
        <w:tabs>
          <w:tab w:val="left" w:pos="1701"/>
        </w:tabs>
        <w:rPr>
          <w:noProof/>
        </w:rPr>
      </w:pPr>
      <w:r>
        <w:rPr>
          <w:noProof/>
        </w:rPr>
        <w:t>51</w:t>
      </w:r>
      <w:r>
        <w:rPr>
          <w:noProof/>
          <w:snapToGrid w:val="0"/>
        </w:rPr>
        <w:t>.</w:t>
      </w:r>
      <w:r>
        <w:rPr>
          <w:noProof/>
        </w:rPr>
        <w:tab/>
      </w:r>
      <w:r>
        <w:rPr>
          <w:noProof/>
          <w:snapToGrid w:val="0"/>
        </w:rPr>
        <w:t>Authorised investigations</w:t>
      </w:r>
      <w:r>
        <w:rPr>
          <w:noProof/>
        </w:rPr>
        <w:tab/>
        <w:t>27</w:t>
      </w:r>
    </w:p>
    <w:p>
      <w:pPr>
        <w:pStyle w:val="TOC4"/>
        <w:tabs>
          <w:tab w:val="left" w:pos="1701"/>
        </w:tabs>
        <w:rPr>
          <w:noProof/>
        </w:rPr>
      </w:pPr>
      <w:r>
        <w:rPr>
          <w:noProof/>
        </w:rPr>
        <w:t>52</w:t>
      </w:r>
      <w:r>
        <w:rPr>
          <w:noProof/>
          <w:snapToGrid w:val="0"/>
        </w:rPr>
        <w:t>.</w:t>
      </w:r>
      <w:r>
        <w:rPr>
          <w:noProof/>
        </w:rPr>
        <w:tab/>
      </w:r>
      <w:r>
        <w:rPr>
          <w:noProof/>
          <w:snapToGrid w:val="0"/>
        </w:rPr>
        <w:t>Power to appoint authorised investigators</w:t>
      </w:r>
      <w:r>
        <w:rPr>
          <w:noProof/>
        </w:rPr>
        <w:tab/>
        <w:t>28</w:t>
      </w:r>
    </w:p>
    <w:p>
      <w:pPr>
        <w:pStyle w:val="TOC4"/>
        <w:tabs>
          <w:tab w:val="left" w:pos="1701"/>
        </w:tabs>
        <w:rPr>
          <w:noProof/>
        </w:rPr>
      </w:pPr>
      <w:r>
        <w:rPr>
          <w:noProof/>
        </w:rPr>
        <w:t>53</w:t>
      </w:r>
      <w:r>
        <w:rPr>
          <w:noProof/>
          <w:snapToGrid w:val="0"/>
        </w:rPr>
        <w:t>.</w:t>
      </w:r>
      <w:r>
        <w:rPr>
          <w:noProof/>
        </w:rPr>
        <w:tab/>
      </w:r>
      <w:r>
        <w:rPr>
          <w:noProof/>
          <w:snapToGrid w:val="0"/>
        </w:rPr>
        <w:t>Power to require information and production of records</w:t>
      </w:r>
      <w:r>
        <w:rPr>
          <w:noProof/>
        </w:rPr>
        <w:tab/>
        <w:t>28</w:t>
      </w:r>
    </w:p>
    <w:p>
      <w:pPr>
        <w:pStyle w:val="TOC4"/>
        <w:tabs>
          <w:tab w:val="left" w:pos="1701"/>
        </w:tabs>
        <w:rPr>
          <w:noProof/>
        </w:rPr>
      </w:pPr>
      <w:r>
        <w:rPr>
          <w:noProof/>
        </w:rPr>
        <w:t>54</w:t>
      </w:r>
      <w:r>
        <w:rPr>
          <w:noProof/>
          <w:snapToGrid w:val="0"/>
        </w:rPr>
        <w:t>.</w:t>
      </w:r>
      <w:r>
        <w:rPr>
          <w:noProof/>
        </w:rPr>
        <w:tab/>
      </w:r>
      <w:r>
        <w:rPr>
          <w:noProof/>
          <w:snapToGrid w:val="0"/>
        </w:rPr>
        <w:t>Power to require person to attend for examination</w:t>
      </w:r>
      <w:r>
        <w:rPr>
          <w:noProof/>
        </w:rPr>
        <w:tab/>
        <w:t>29</w:t>
      </w:r>
    </w:p>
    <w:p>
      <w:pPr>
        <w:pStyle w:val="TOC4"/>
        <w:tabs>
          <w:tab w:val="left" w:pos="1701"/>
        </w:tabs>
        <w:rPr>
          <w:noProof/>
        </w:rPr>
      </w:pPr>
      <w:r>
        <w:rPr>
          <w:noProof/>
        </w:rPr>
        <w:t>55</w:t>
      </w:r>
      <w:r>
        <w:rPr>
          <w:noProof/>
          <w:snapToGrid w:val="0"/>
        </w:rPr>
        <w:t>.</w:t>
      </w:r>
      <w:r>
        <w:rPr>
          <w:noProof/>
        </w:rPr>
        <w:tab/>
      </w:r>
      <w:r>
        <w:rPr>
          <w:noProof/>
          <w:snapToGrid w:val="0"/>
        </w:rPr>
        <w:t>Power to enter premises</w:t>
      </w:r>
      <w:r>
        <w:rPr>
          <w:noProof/>
        </w:rPr>
        <w:tab/>
        <w:t>30</w:t>
      </w:r>
    </w:p>
    <w:p>
      <w:pPr>
        <w:pStyle w:val="TOC4"/>
        <w:tabs>
          <w:tab w:val="left" w:pos="1701"/>
        </w:tabs>
        <w:rPr>
          <w:noProof/>
        </w:rPr>
      </w:pPr>
      <w:r>
        <w:rPr>
          <w:noProof/>
        </w:rPr>
        <w:t>56</w:t>
      </w:r>
      <w:r>
        <w:rPr>
          <w:noProof/>
          <w:snapToGrid w:val="0"/>
        </w:rPr>
        <w:t>.</w:t>
      </w:r>
      <w:r>
        <w:rPr>
          <w:noProof/>
        </w:rPr>
        <w:tab/>
      </w:r>
      <w:r>
        <w:rPr>
          <w:noProof/>
          <w:snapToGrid w:val="0"/>
        </w:rPr>
        <w:t>Search warrants</w:t>
      </w:r>
      <w:r>
        <w:rPr>
          <w:noProof/>
        </w:rPr>
        <w:tab/>
        <w:t>31</w:t>
      </w:r>
    </w:p>
    <w:p>
      <w:pPr>
        <w:pStyle w:val="TOC4"/>
        <w:tabs>
          <w:tab w:val="left" w:pos="1701"/>
        </w:tabs>
        <w:rPr>
          <w:noProof/>
        </w:rPr>
      </w:pPr>
      <w:r>
        <w:rPr>
          <w:noProof/>
        </w:rPr>
        <w:t>57</w:t>
      </w:r>
      <w:r>
        <w:rPr>
          <w:noProof/>
          <w:snapToGrid w:val="0"/>
        </w:rPr>
        <w:t>.</w:t>
      </w:r>
      <w:r>
        <w:rPr>
          <w:noProof/>
        </w:rPr>
        <w:tab/>
      </w:r>
      <w:r>
        <w:rPr>
          <w:noProof/>
          <w:snapToGrid w:val="0"/>
        </w:rPr>
        <w:t>Powers of authorised investigators while on premises</w:t>
      </w:r>
      <w:r>
        <w:rPr>
          <w:noProof/>
        </w:rPr>
        <w:tab/>
        <w:t>31</w:t>
      </w:r>
    </w:p>
    <w:p>
      <w:pPr>
        <w:pStyle w:val="TOC4"/>
        <w:tabs>
          <w:tab w:val="left" w:pos="1701"/>
        </w:tabs>
        <w:rPr>
          <w:noProof/>
        </w:rPr>
      </w:pPr>
      <w:r>
        <w:rPr>
          <w:noProof/>
        </w:rPr>
        <w:t>58</w:t>
      </w:r>
      <w:r>
        <w:rPr>
          <w:noProof/>
          <w:snapToGrid w:val="0"/>
        </w:rPr>
        <w:t>.</w:t>
      </w:r>
      <w:r>
        <w:rPr>
          <w:noProof/>
        </w:rPr>
        <w:tab/>
      </w:r>
      <w:r>
        <w:rPr>
          <w:noProof/>
          <w:snapToGrid w:val="0"/>
        </w:rPr>
        <w:t>Use of force</w:t>
      </w:r>
      <w:r>
        <w:rPr>
          <w:noProof/>
        </w:rPr>
        <w:tab/>
        <w:t>33</w:t>
      </w:r>
    </w:p>
    <w:p>
      <w:pPr>
        <w:pStyle w:val="TOC2"/>
        <w:tabs>
          <w:tab w:val="right" w:leader="dot" w:pos="7078"/>
        </w:tabs>
        <w:rPr>
          <w:noProof/>
        </w:rPr>
      </w:pPr>
      <w:r>
        <w:rPr>
          <w:noProof/>
        </w:rPr>
        <w:t>Part 8 — Administrative matters</w:t>
      </w:r>
    </w:p>
    <w:p>
      <w:pPr>
        <w:pStyle w:val="TOC4"/>
        <w:tabs>
          <w:tab w:val="left" w:pos="1701"/>
        </w:tabs>
        <w:rPr>
          <w:noProof/>
        </w:rPr>
      </w:pPr>
      <w:r>
        <w:rPr>
          <w:noProof/>
        </w:rPr>
        <w:t>59</w:t>
      </w:r>
      <w:r>
        <w:rPr>
          <w:noProof/>
          <w:snapToGrid w:val="0"/>
        </w:rPr>
        <w:t>.</w:t>
      </w:r>
      <w:r>
        <w:rPr>
          <w:noProof/>
        </w:rPr>
        <w:tab/>
      </w:r>
      <w:r>
        <w:rPr>
          <w:noProof/>
          <w:snapToGrid w:val="0"/>
        </w:rPr>
        <w:t>Commissioner may delegate</w:t>
      </w:r>
      <w:r>
        <w:rPr>
          <w:noProof/>
        </w:rPr>
        <w:tab/>
        <w:t>34</w:t>
      </w:r>
    </w:p>
    <w:p>
      <w:pPr>
        <w:pStyle w:val="TOC4"/>
        <w:tabs>
          <w:tab w:val="left" w:pos="1701"/>
        </w:tabs>
        <w:rPr>
          <w:noProof/>
        </w:rPr>
      </w:pPr>
      <w:r>
        <w:rPr>
          <w:noProof/>
        </w:rPr>
        <w:t>60</w:t>
      </w:r>
      <w:r>
        <w:rPr>
          <w:noProof/>
          <w:snapToGrid w:val="0"/>
        </w:rPr>
        <w:t>.</w:t>
      </w:r>
      <w:r>
        <w:rPr>
          <w:noProof/>
        </w:rPr>
        <w:tab/>
      </w:r>
      <w:r>
        <w:rPr>
          <w:noProof/>
          <w:snapToGrid w:val="0"/>
        </w:rPr>
        <w:t>Ministerial review</w:t>
      </w:r>
      <w:r>
        <w:rPr>
          <w:noProof/>
        </w:rPr>
        <w:tab/>
        <w:t>34</w:t>
      </w:r>
    </w:p>
    <w:p>
      <w:pPr>
        <w:pStyle w:val="TOC4"/>
        <w:tabs>
          <w:tab w:val="left" w:pos="1701"/>
        </w:tabs>
        <w:rPr>
          <w:noProof/>
        </w:rPr>
      </w:pPr>
      <w:r>
        <w:rPr>
          <w:noProof/>
        </w:rPr>
        <w:t>61</w:t>
      </w:r>
      <w:r>
        <w:rPr>
          <w:noProof/>
          <w:snapToGrid w:val="0"/>
        </w:rPr>
        <w:t>.</w:t>
      </w:r>
      <w:r>
        <w:rPr>
          <w:noProof/>
        </w:rPr>
        <w:tab/>
      </w:r>
      <w:r>
        <w:rPr>
          <w:noProof/>
          <w:snapToGrid w:val="0"/>
        </w:rPr>
        <w:t>Confidentiality</w:t>
      </w:r>
      <w:r>
        <w:rPr>
          <w:noProof/>
        </w:rPr>
        <w:tab/>
        <w:t>35</w:t>
      </w:r>
    </w:p>
    <w:p>
      <w:pPr>
        <w:pStyle w:val="TOC2"/>
        <w:tabs>
          <w:tab w:val="right" w:leader="dot" w:pos="7078"/>
        </w:tabs>
        <w:rPr>
          <w:noProof/>
        </w:rPr>
      </w:pPr>
      <w:r>
        <w:rPr>
          <w:noProof/>
        </w:rPr>
        <w:t>Part 9 — Miscellaneous</w:t>
      </w:r>
    </w:p>
    <w:p>
      <w:pPr>
        <w:pStyle w:val="TOC4"/>
        <w:tabs>
          <w:tab w:val="left" w:pos="1701"/>
        </w:tabs>
        <w:rPr>
          <w:noProof/>
        </w:rPr>
      </w:pPr>
      <w:r>
        <w:rPr>
          <w:noProof/>
        </w:rPr>
        <w:t>62</w:t>
      </w:r>
      <w:r>
        <w:rPr>
          <w:noProof/>
          <w:snapToGrid w:val="0"/>
        </w:rPr>
        <w:t>.</w:t>
      </w:r>
      <w:r>
        <w:rPr>
          <w:noProof/>
        </w:rPr>
        <w:tab/>
      </w:r>
      <w:r>
        <w:rPr>
          <w:noProof/>
          <w:snapToGrid w:val="0"/>
        </w:rPr>
        <w:t>Recovery of penalties</w:t>
      </w:r>
      <w:r>
        <w:rPr>
          <w:noProof/>
        </w:rPr>
        <w:tab/>
        <w:t>37</w:t>
      </w:r>
    </w:p>
    <w:p>
      <w:pPr>
        <w:pStyle w:val="TOC4"/>
        <w:tabs>
          <w:tab w:val="left" w:pos="1701"/>
        </w:tabs>
        <w:rPr>
          <w:noProof/>
        </w:rPr>
      </w:pPr>
      <w:r>
        <w:rPr>
          <w:noProof/>
        </w:rPr>
        <w:t>63</w:t>
      </w:r>
      <w:r>
        <w:rPr>
          <w:noProof/>
          <w:snapToGrid w:val="0"/>
        </w:rPr>
        <w:t>.</w:t>
      </w:r>
      <w:r>
        <w:rPr>
          <w:noProof/>
        </w:rPr>
        <w:tab/>
      </w:r>
      <w:r>
        <w:rPr>
          <w:noProof/>
          <w:snapToGrid w:val="0"/>
        </w:rPr>
        <w:t>Recovery of certain subsidies</w:t>
      </w:r>
      <w:r>
        <w:rPr>
          <w:noProof/>
        </w:rPr>
        <w:tab/>
        <w:t>37</w:t>
      </w:r>
    </w:p>
    <w:p>
      <w:pPr>
        <w:pStyle w:val="TOC4"/>
        <w:tabs>
          <w:tab w:val="left" w:pos="1701"/>
        </w:tabs>
        <w:rPr>
          <w:noProof/>
        </w:rPr>
      </w:pPr>
      <w:r>
        <w:rPr>
          <w:noProof/>
        </w:rPr>
        <w:t>64</w:t>
      </w:r>
      <w:r>
        <w:rPr>
          <w:noProof/>
          <w:snapToGrid w:val="0"/>
        </w:rPr>
        <w:t>.</w:t>
      </w:r>
      <w:r>
        <w:rPr>
          <w:noProof/>
        </w:rPr>
        <w:tab/>
      </w:r>
      <w:r>
        <w:rPr>
          <w:noProof/>
          <w:snapToGrid w:val="0"/>
        </w:rPr>
        <w:t>Offences</w:t>
      </w:r>
      <w:r>
        <w:rPr>
          <w:noProof/>
        </w:rPr>
        <w:tab/>
        <w:t>37</w:t>
      </w:r>
    </w:p>
    <w:p>
      <w:pPr>
        <w:pStyle w:val="TOC4"/>
        <w:tabs>
          <w:tab w:val="left" w:pos="1701"/>
        </w:tabs>
        <w:rPr>
          <w:noProof/>
        </w:rPr>
      </w:pPr>
      <w:r>
        <w:rPr>
          <w:noProof/>
        </w:rPr>
        <w:t>65</w:t>
      </w:r>
      <w:r>
        <w:rPr>
          <w:noProof/>
          <w:snapToGrid w:val="0"/>
        </w:rPr>
        <w:t>.</w:t>
      </w:r>
      <w:r>
        <w:rPr>
          <w:noProof/>
        </w:rPr>
        <w:tab/>
      </w:r>
      <w:r>
        <w:rPr>
          <w:noProof/>
          <w:snapToGrid w:val="0"/>
        </w:rPr>
        <w:t>General penalty</w:t>
      </w:r>
      <w:r>
        <w:rPr>
          <w:noProof/>
        </w:rPr>
        <w:tab/>
        <w:t>38</w:t>
      </w:r>
    </w:p>
    <w:p>
      <w:pPr>
        <w:pStyle w:val="TOC4"/>
        <w:tabs>
          <w:tab w:val="left" w:pos="1701"/>
        </w:tabs>
        <w:rPr>
          <w:noProof/>
        </w:rPr>
      </w:pPr>
      <w:r>
        <w:rPr>
          <w:noProof/>
        </w:rPr>
        <w:t>66.</w:t>
      </w:r>
      <w:r>
        <w:rPr>
          <w:noProof/>
        </w:rPr>
        <w:tab/>
        <w:t>Subsidies to cease for diesel supplied on or after 1 July 2000</w:t>
      </w:r>
      <w:r>
        <w:rPr>
          <w:noProof/>
        </w:rPr>
        <w:tab/>
        <w:t>38</w:t>
      </w:r>
    </w:p>
    <w:p>
      <w:pPr>
        <w:pStyle w:val="TOC4"/>
        <w:tabs>
          <w:tab w:val="left" w:pos="1701"/>
        </w:tabs>
        <w:rPr>
          <w:noProof/>
        </w:rPr>
      </w:pPr>
      <w:r>
        <w:rPr>
          <w:noProof/>
        </w:rPr>
        <w:t>68</w:t>
      </w:r>
      <w:r>
        <w:rPr>
          <w:noProof/>
          <w:snapToGrid w:val="0"/>
        </w:rPr>
        <w:t>.</w:t>
      </w:r>
      <w:r>
        <w:rPr>
          <w:noProof/>
        </w:rPr>
        <w:tab/>
      </w:r>
      <w:r>
        <w:rPr>
          <w:noProof/>
          <w:snapToGrid w:val="0"/>
        </w:rPr>
        <w:t>Regulations</w:t>
      </w:r>
      <w:r>
        <w:rPr>
          <w:noProof/>
        </w:rPr>
        <w:tab/>
        <w:t>39</w:t>
      </w:r>
    </w:p>
    <w:p>
      <w:pPr>
        <w:pStyle w:val="TOC4"/>
        <w:tabs>
          <w:tab w:val="left" w:pos="1701"/>
        </w:tabs>
        <w:rPr>
          <w:noProof/>
        </w:rPr>
      </w:pPr>
      <w:r>
        <w:rPr>
          <w:noProof/>
        </w:rPr>
        <w:t>70</w:t>
      </w:r>
      <w:r>
        <w:rPr>
          <w:noProof/>
          <w:snapToGrid w:val="0"/>
        </w:rPr>
        <w:t>.</w:t>
      </w:r>
      <w:r>
        <w:rPr>
          <w:noProof/>
        </w:rPr>
        <w:tab/>
      </w:r>
      <w:r>
        <w:rPr>
          <w:noProof/>
          <w:snapToGrid w:val="0"/>
        </w:rPr>
        <w:t>Act to expire</w:t>
      </w:r>
      <w:r>
        <w:rPr>
          <w:noProof/>
        </w:rPr>
        <w:tab/>
        <w:t>39</w:t>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t>40</w:t>
      </w:r>
    </w:p>
    <w:p>
      <w:pPr>
        <w:pStyle w:val="TOC2"/>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80" w:after="1000"/>
      </w:pPr>
      <w:r>
        <w:t>Fuel Suppliers Licensing Act 1997</w:t>
      </w:r>
    </w:p>
    <w:p>
      <w:pPr>
        <w:pStyle w:val="LongTitle"/>
        <w:rPr>
          <w:snapToGrid w:val="0"/>
        </w:rPr>
      </w:pPr>
      <w:r>
        <w:rPr>
          <w:snapToGrid w:val="0"/>
        </w:rPr>
        <w:t xml:space="preserve">An Act to provide for the licensing of suppliers of certain fuel and for the payment of subsidies for certain diesel.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69893000"/>
      <w:bookmarkStart w:id="2" w:name="_Toc527535557"/>
      <w:bookmarkStart w:id="3" w:name="_Toc530207181"/>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Fuel Suppliers Licensing Act 1997</w:t>
      </w:r>
      <w:r>
        <w:rPr>
          <w:snapToGrid w:val="0"/>
          <w:vertAlign w:val="superscript"/>
        </w:rPr>
        <w:t> 1</w:t>
      </w:r>
      <w:r>
        <w:rPr>
          <w:snapToGrid w:val="0"/>
        </w:rPr>
        <w:t>.</w:t>
      </w:r>
    </w:p>
    <w:p>
      <w:pPr>
        <w:pStyle w:val="Footnotesection"/>
      </w:pPr>
      <w:r>
        <w:tab/>
        <w:t>[Section 1 amended by No. 22 of 1998 s. 4(1).]</w:t>
      </w:r>
    </w:p>
    <w:p>
      <w:pPr>
        <w:pStyle w:val="Heading5"/>
        <w:rPr>
          <w:snapToGrid w:val="0"/>
        </w:rPr>
      </w:pPr>
      <w:bookmarkStart w:id="4" w:name="_Toc469893001"/>
      <w:bookmarkStart w:id="5" w:name="_Toc527535558"/>
      <w:bookmarkStart w:id="6" w:name="_Toc530207182"/>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spacing w:before="140"/>
        <w:rPr>
          <w:snapToGrid w:val="0"/>
        </w:rPr>
      </w:pPr>
      <w:r>
        <w:rPr>
          <w:snapToGrid w:val="0"/>
        </w:rPr>
        <w:tab/>
        <w:t>(1)</w:t>
      </w:r>
      <w:r>
        <w:rPr>
          <w:snapToGrid w:val="0"/>
        </w:rPr>
        <w:tab/>
        <w:t>This Act comes into operation on such day as is fixed by proclamation</w:t>
      </w:r>
      <w:r>
        <w:rPr>
          <w:snapToGrid w:val="0"/>
          <w:vertAlign w:val="superscript"/>
        </w:rPr>
        <w:t> 1</w:t>
      </w:r>
      <w:r>
        <w:rPr>
          <w:snapToGrid w:val="0"/>
        </w:rPr>
        <w:t>.</w:t>
      </w:r>
    </w:p>
    <w:p>
      <w:pPr>
        <w:pStyle w:val="Subsection"/>
        <w:spacing w:before="140"/>
        <w:rPr>
          <w:snapToGrid w:val="0"/>
        </w:rPr>
      </w:pPr>
      <w:r>
        <w:rPr>
          <w:snapToGrid w:val="0"/>
        </w:rPr>
        <w:tab/>
        <w:t>(2)</w:t>
      </w:r>
      <w:r>
        <w:rPr>
          <w:snapToGrid w:val="0"/>
        </w:rPr>
        <w:tab/>
        <w:t xml:space="preserve">Despite subsection (1) and without limiting the operation of section 25 of the </w:t>
      </w:r>
      <w:r>
        <w:rPr>
          <w:i/>
          <w:snapToGrid w:val="0"/>
        </w:rPr>
        <w:t>Interpretation Act 1984</w:t>
      </w:r>
      <w:r>
        <w:rPr>
          <w:snapToGrid w:val="0"/>
        </w:rPr>
        <w:t>, the provisions of this Act relating to the application for and issue of fuel supplier’s licences and ORD distributor’s authorities, including any provisions of this Part that relate to those provisions and this subsection, apply and have effect to such extent as is necessary or expedient to enable such licences and authorities to be issued before this Act comes into operation.</w:t>
      </w:r>
    </w:p>
    <w:p>
      <w:pPr>
        <w:pStyle w:val="Heading5"/>
        <w:rPr>
          <w:snapToGrid w:val="0"/>
        </w:rPr>
      </w:pPr>
      <w:bookmarkStart w:id="7" w:name="_Toc469893002"/>
      <w:bookmarkStart w:id="8" w:name="_Toc527535559"/>
      <w:bookmarkStart w:id="9" w:name="_Toc530207183"/>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form</w:t>
      </w:r>
      <w:r>
        <w:rPr>
          <w:b/>
        </w:rPr>
        <w:t>”</w:t>
      </w:r>
      <w:r>
        <w:t xml:space="preserve"> means a form approved by the Commissioner;</w:t>
      </w:r>
    </w:p>
    <w:p>
      <w:pPr>
        <w:pStyle w:val="Defstart"/>
      </w:pPr>
      <w:r>
        <w:rPr>
          <w:b/>
        </w:rPr>
        <w:tab/>
        <w:t>“</w:t>
      </w:r>
      <w:r>
        <w:rPr>
          <w:rStyle w:val="CharDefText"/>
        </w:rPr>
        <w:t>authorised distributor</w:t>
      </w:r>
      <w:r>
        <w:rPr>
          <w:b/>
        </w:rPr>
        <w:t>”</w:t>
      </w:r>
      <w:r>
        <w:t xml:space="preserve"> means a person who holds a valid ORD distributor’s authority;</w:t>
      </w:r>
    </w:p>
    <w:p>
      <w:pPr>
        <w:pStyle w:val="Defstart"/>
      </w:pPr>
      <w:r>
        <w:rPr>
          <w:b/>
        </w:rPr>
        <w:tab/>
        <w:t>“</w:t>
      </w:r>
      <w:r>
        <w:rPr>
          <w:rStyle w:val="CharDefText"/>
        </w:rPr>
        <w:t>certified user</w:t>
      </w:r>
      <w:r>
        <w:rPr>
          <w:b/>
        </w:rPr>
        <w:t>”</w:t>
      </w:r>
      <w:r>
        <w:t xml:space="preserve"> means a person who holds a valid ORD user’s certificate;</w:t>
      </w:r>
    </w:p>
    <w:p>
      <w:pPr>
        <w:pStyle w:val="Defstart"/>
      </w:pPr>
      <w:r>
        <w:rPr>
          <w:b/>
        </w:rPr>
        <w:tab/>
        <w:t>“</w:t>
      </w:r>
      <w:r>
        <w:rPr>
          <w:rStyle w:val="CharDefText"/>
        </w:rPr>
        <w:t>Commissioner</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diesel</w:t>
      </w:r>
      <w:r>
        <w:rPr>
          <w:b/>
        </w:rPr>
        <w:t>”</w:t>
      </w:r>
      <w:r>
        <w:t xml:space="preserve"> means any petroleum or shale product — </w:t>
      </w:r>
    </w:p>
    <w:p>
      <w:pPr>
        <w:pStyle w:val="Defpara"/>
      </w:pPr>
      <w:r>
        <w:tab/>
        <w:t>(a)</w:t>
      </w:r>
      <w:r>
        <w:tab/>
        <w:t>that is used or is capable of being used to propel a diesel engined road vehicle; and</w:t>
      </w:r>
    </w:p>
    <w:p>
      <w:pPr>
        <w:pStyle w:val="Defpara"/>
      </w:pPr>
      <w:r>
        <w:tab/>
        <w:t>(b)</w:t>
      </w:r>
      <w:r>
        <w:tab/>
        <w:t>that is prescribed to be diesel for the purposes of this Act;</w:t>
      </w:r>
    </w:p>
    <w:p>
      <w:pPr>
        <w:pStyle w:val="Defstart"/>
        <w:spacing w:before="60"/>
      </w:pPr>
      <w:r>
        <w:rPr>
          <w:b/>
        </w:rPr>
        <w:tab/>
        <w:t>“</w:t>
      </w:r>
      <w:r>
        <w:rPr>
          <w:rStyle w:val="CharDefText"/>
        </w:rPr>
        <w:t>diesel subsidy</w:t>
      </w:r>
      <w:r>
        <w:rPr>
          <w:b/>
        </w:rPr>
        <w:t>”</w:t>
      </w:r>
      <w:r>
        <w:t xml:space="preserve"> means a general diesel subsidy or an ORD subsidy;</w:t>
      </w:r>
    </w:p>
    <w:p>
      <w:pPr>
        <w:pStyle w:val="Defstart"/>
        <w:spacing w:before="60"/>
      </w:pPr>
      <w:r>
        <w:rPr>
          <w:b/>
        </w:rPr>
        <w:tab/>
        <w:t>“</w:t>
      </w:r>
      <w:r>
        <w:rPr>
          <w:rStyle w:val="CharDefText"/>
        </w:rPr>
        <w:t>general diesel subsidy rate</w:t>
      </w:r>
      <w:r>
        <w:rPr>
          <w:b/>
        </w:rPr>
        <w:t>”</w:t>
      </w:r>
      <w:r>
        <w:t xml:space="preserve"> means 0.65 cents per litre or such other rate as is prescribed;</w:t>
      </w:r>
    </w:p>
    <w:p>
      <w:pPr>
        <w:pStyle w:val="Defstart"/>
        <w:spacing w:before="60"/>
      </w:pPr>
      <w:r>
        <w:rPr>
          <w:b/>
        </w:rPr>
        <w:tab/>
        <w:t>“</w:t>
      </w:r>
      <w:r>
        <w:rPr>
          <w:rStyle w:val="CharDefText"/>
        </w:rPr>
        <w:t>holder</w:t>
      </w:r>
      <w:r>
        <w:rPr>
          <w:b/>
        </w:rPr>
        <w:t>”</w:t>
      </w:r>
      <w:r>
        <w:t>, in relation to a fuel supplier’s licence, an ORD distributor’s authority or an ORD user’s certificate, means the person to whom it is issued;</w:t>
      </w:r>
    </w:p>
    <w:p>
      <w:pPr>
        <w:pStyle w:val="Defstart"/>
        <w:spacing w:before="60"/>
      </w:pPr>
      <w:r>
        <w:rPr>
          <w:b/>
        </w:rPr>
        <w:tab/>
        <w:t>“</w:t>
      </w:r>
      <w:r>
        <w:rPr>
          <w:rStyle w:val="CharDefText"/>
        </w:rPr>
        <w:t>licensed supplier</w:t>
      </w:r>
      <w:r>
        <w:rPr>
          <w:b/>
        </w:rPr>
        <w:t>”</w:t>
      </w:r>
      <w:r>
        <w:t xml:space="preserve"> means a person who holds a valid fuel supplier’s licence;</w:t>
      </w:r>
    </w:p>
    <w:p>
      <w:pPr>
        <w:pStyle w:val="Defstart"/>
        <w:spacing w:before="60"/>
      </w:pPr>
      <w:r>
        <w:rPr>
          <w:b/>
        </w:rPr>
        <w:tab/>
        <w:t>“</w:t>
      </w:r>
      <w:r>
        <w:rPr>
          <w:rStyle w:val="CharDefText"/>
        </w:rPr>
        <w:t>ORD subsidy rate</w:t>
      </w:r>
      <w:r>
        <w:rPr>
          <w:b/>
        </w:rPr>
        <w:t>”</w:t>
      </w:r>
      <w:r>
        <w:t xml:space="preserve"> means 7.45 cents per litre or such other rate as is prescribed;</w:t>
      </w:r>
    </w:p>
    <w:p>
      <w:pPr>
        <w:pStyle w:val="Defstart"/>
        <w:spacing w:before="60"/>
      </w:pPr>
      <w:r>
        <w:rPr>
          <w:b/>
        </w:rPr>
        <w:tab/>
        <w:t>“</w:t>
      </w:r>
      <w:r>
        <w:rPr>
          <w:rStyle w:val="CharDefText"/>
        </w:rPr>
        <w:t>permit</w:t>
      </w:r>
      <w:r>
        <w:rPr>
          <w:b/>
        </w:rPr>
        <w:t>”</w:t>
      </w:r>
      <w:r>
        <w:t xml:space="preserve"> means a fuel supplier’s licence, an ORD distributor’s authority or an ORD user’s certificate;</w:t>
      </w:r>
    </w:p>
    <w:p>
      <w:pPr>
        <w:pStyle w:val="Defstart"/>
        <w:spacing w:before="60"/>
      </w:pPr>
      <w:r>
        <w:rPr>
          <w:b/>
        </w:rPr>
        <w:tab/>
        <w:t>“</w:t>
      </w:r>
      <w:r>
        <w:rPr>
          <w:rStyle w:val="CharDefText"/>
        </w:rPr>
        <w:t>prescribed fuel</w:t>
      </w:r>
      <w:r>
        <w:rPr>
          <w:b/>
        </w:rPr>
        <w:t>”</w:t>
      </w:r>
      <w:r>
        <w:t xml:space="preserve"> means fuel that is prescribed for the purposes of this definition;</w:t>
      </w:r>
    </w:p>
    <w:p>
      <w:pPr>
        <w:pStyle w:val="Defstart"/>
        <w:spacing w:before="60"/>
      </w:pPr>
      <w:r>
        <w:rPr>
          <w:b/>
        </w:rPr>
        <w:tab/>
        <w:t>“</w:t>
      </w:r>
      <w:r>
        <w:rPr>
          <w:rStyle w:val="CharDefText"/>
        </w:rPr>
        <w:t>public road</w:t>
      </w:r>
      <w:r>
        <w:rPr>
          <w:b/>
        </w:rPr>
        <w:t>”</w:t>
      </w:r>
      <w:r>
        <w:t xml:space="preserve"> means a road or street open to or used by the public;</w:t>
      </w:r>
    </w:p>
    <w:p>
      <w:pPr>
        <w:pStyle w:val="Defstart"/>
        <w:spacing w:before="60"/>
      </w:pPr>
      <w:r>
        <w:rPr>
          <w:b/>
        </w:rPr>
        <w:tab/>
        <w:t>“</w:t>
      </w:r>
      <w:r>
        <w:rPr>
          <w:rStyle w:val="CharDefText"/>
        </w:rPr>
        <w:t>record</w:t>
      </w:r>
      <w:r>
        <w:rPr>
          <w:b/>
        </w:rPr>
        <w:t>”</w:t>
      </w:r>
      <w:r>
        <w:t xml:space="preserve"> means any thing or process — </w:t>
      </w:r>
    </w:p>
    <w:p>
      <w:pPr>
        <w:pStyle w:val="Defpara"/>
        <w:spacing w:before="60"/>
      </w:pPr>
      <w:r>
        <w:tab/>
        <w:t>(a)</w:t>
      </w:r>
      <w:r>
        <w:tab/>
        <w:t>on or by which information is recorded or stored; or</w:t>
      </w:r>
    </w:p>
    <w:p>
      <w:pPr>
        <w:pStyle w:val="Defpara"/>
        <w:spacing w:before="60"/>
      </w:pPr>
      <w:r>
        <w:tab/>
        <w:t>(b)</w:t>
      </w:r>
      <w:r>
        <w:tab/>
        <w:t>by means of which a meaning can be conveyed in visible or recoverable form,</w:t>
      </w:r>
    </w:p>
    <w:p>
      <w:pPr>
        <w:pStyle w:val="Defstart"/>
        <w:spacing w:before="60"/>
      </w:pPr>
      <w:r>
        <w:tab/>
      </w:r>
      <w:r>
        <w:tab/>
        <w:t>whether or not the use or assistance of some electronic, electrical, mechanical, chemical or other device or process is required to recover or convey the information or meaning;</w:t>
      </w:r>
    </w:p>
    <w:p>
      <w:pPr>
        <w:pStyle w:val="Defstart"/>
        <w:spacing w:before="60"/>
      </w:pPr>
      <w:r>
        <w:rPr>
          <w:b/>
        </w:rPr>
        <w:tab/>
        <w:t>“</w:t>
      </w:r>
      <w:r>
        <w:rPr>
          <w:rStyle w:val="CharDefText"/>
        </w:rPr>
        <w:t>road vehicle</w:t>
      </w:r>
      <w:r>
        <w:rPr>
          <w:b/>
        </w:rPr>
        <w:t>”</w:t>
      </w:r>
      <w:r>
        <w:t xml:space="preserve"> means a vehicle designed solely or principally for transporting people or things by road;</w:t>
      </w:r>
    </w:p>
    <w:p>
      <w:pPr>
        <w:pStyle w:val="Defstart"/>
        <w:spacing w:before="60"/>
      </w:pPr>
      <w:r>
        <w:rPr>
          <w:b/>
        </w:rPr>
        <w:tab/>
        <w:t>“</w:t>
      </w:r>
      <w:r>
        <w:rPr>
          <w:rStyle w:val="CharDefText"/>
        </w:rPr>
        <w:t>supply</w:t>
      </w:r>
      <w:r>
        <w:rPr>
          <w:b/>
        </w:rPr>
        <w:t>”</w:t>
      </w:r>
      <w:r>
        <w:t xml:space="preserve"> includes deliver, give and sell.</w:t>
      </w:r>
    </w:p>
    <w:p>
      <w:pPr>
        <w:pStyle w:val="Subsection"/>
        <w:spacing w:before="120"/>
        <w:rPr>
          <w:snapToGrid w:val="0"/>
        </w:rPr>
      </w:pPr>
      <w:r>
        <w:rPr>
          <w:snapToGrid w:val="0"/>
        </w:rPr>
        <w:tab/>
        <w:t>(2)</w:t>
      </w:r>
      <w:r>
        <w:rPr>
          <w:snapToGrid w:val="0"/>
        </w:rPr>
        <w:tab/>
        <w:t>In this Act these abbreviations are used:</w:t>
      </w:r>
    </w:p>
    <w:p>
      <w:pPr>
        <w:pStyle w:val="Defstart"/>
        <w:spacing w:before="60"/>
      </w:pPr>
      <w:r>
        <w:rPr>
          <w:b/>
        </w:rPr>
        <w:tab/>
        <w:t>“</w:t>
      </w:r>
      <w:r>
        <w:rPr>
          <w:rStyle w:val="CharDefText"/>
        </w:rPr>
        <w:t>ORD</w:t>
      </w:r>
      <w:r>
        <w:rPr>
          <w:b/>
        </w:rPr>
        <w:t>”</w:t>
      </w:r>
      <w:r>
        <w:t xml:space="preserve"> for off</w:t>
      </w:r>
      <w:r>
        <w:noBreakHyphen/>
        <w:t>road diesel;</w:t>
      </w:r>
    </w:p>
    <w:p>
      <w:pPr>
        <w:pStyle w:val="Defstart"/>
        <w:spacing w:before="60"/>
      </w:pPr>
      <w:r>
        <w:rPr>
          <w:b/>
        </w:rPr>
        <w:tab/>
        <w:t>“</w:t>
      </w:r>
      <w:r>
        <w:rPr>
          <w:rStyle w:val="CharDefText"/>
        </w:rPr>
        <w:t>WA</w:t>
      </w:r>
      <w:r>
        <w:rPr>
          <w:b/>
        </w:rPr>
        <w:t>”</w:t>
      </w:r>
      <w:r>
        <w:t xml:space="preserve"> for the State of Western Australia.</w:t>
      </w:r>
    </w:p>
    <w:p>
      <w:pPr>
        <w:pStyle w:val="Subsection"/>
        <w:rPr>
          <w:snapToGrid w:val="0"/>
        </w:rPr>
      </w:pPr>
      <w:r>
        <w:rPr>
          <w:snapToGrid w:val="0"/>
        </w:rPr>
        <w:tab/>
        <w:t>(3)</w:t>
      </w:r>
      <w:r>
        <w:rPr>
          <w:snapToGrid w:val="0"/>
        </w:rPr>
        <w:tab/>
        <w:t>For the purposes of this Act, if a person — </w:t>
      </w:r>
    </w:p>
    <w:p>
      <w:pPr>
        <w:pStyle w:val="Indenta"/>
        <w:rPr>
          <w:snapToGrid w:val="0"/>
        </w:rPr>
      </w:pPr>
      <w:r>
        <w:rPr>
          <w:snapToGrid w:val="0"/>
        </w:rPr>
        <w:tab/>
        <w:t>(a)</w:t>
      </w:r>
      <w:r>
        <w:rPr>
          <w:snapToGrid w:val="0"/>
        </w:rPr>
        <w:tab/>
        <w:t>is both an authorised distributor and a certified user; and</w:t>
      </w:r>
    </w:p>
    <w:p>
      <w:pPr>
        <w:pStyle w:val="Indenta"/>
        <w:rPr>
          <w:snapToGrid w:val="0"/>
        </w:rPr>
      </w:pPr>
      <w:r>
        <w:rPr>
          <w:snapToGrid w:val="0"/>
        </w:rPr>
        <w:tab/>
        <w:t>(b)</w:t>
      </w:r>
      <w:r>
        <w:rPr>
          <w:snapToGrid w:val="0"/>
        </w:rPr>
        <w:tab/>
        <w:t>under the ORD user’s certificate, uses diesel that the person is in possession of as an authorised distributor,</w:t>
      </w:r>
    </w:p>
    <w:p>
      <w:pPr>
        <w:pStyle w:val="Subsection"/>
        <w:rPr>
          <w:snapToGrid w:val="0"/>
        </w:rPr>
      </w:pPr>
      <w:r>
        <w:rPr>
          <w:snapToGrid w:val="0"/>
        </w:rPr>
        <w:tab/>
      </w:r>
      <w:r>
        <w:rPr>
          <w:snapToGrid w:val="0"/>
        </w:rPr>
        <w:tab/>
        <w:t>the use of that diesel is to be taken to be a supply by that person as an authorised distributor to a certified user.</w:t>
      </w:r>
    </w:p>
    <w:p>
      <w:pPr>
        <w:pStyle w:val="Subsection"/>
        <w:rPr>
          <w:snapToGrid w:val="0"/>
        </w:rPr>
      </w:pPr>
      <w:r>
        <w:rPr>
          <w:snapToGrid w:val="0"/>
        </w:rPr>
        <w:tab/>
        <w:t>(4)</w:t>
      </w:r>
      <w:r>
        <w:rPr>
          <w:snapToGrid w:val="0"/>
        </w:rPr>
        <w:tab/>
        <w:t>For the purposes of this Act, diesel is used to propel a road vehicle even though the engine propelling the vehicle also operates equipment on the vehicle that does not propel the vehicle.</w:t>
      </w:r>
    </w:p>
    <w:p>
      <w:pPr>
        <w:pStyle w:val="Subsection"/>
        <w:rPr>
          <w:snapToGrid w:val="0"/>
        </w:rPr>
      </w:pPr>
      <w:r>
        <w:rPr>
          <w:snapToGrid w:val="0"/>
        </w:rPr>
        <w:tab/>
        <w:t>(5)</w:t>
      </w:r>
      <w:r>
        <w:rPr>
          <w:snapToGrid w:val="0"/>
        </w:rPr>
        <w:tab/>
        <w:t>For the purposes of this Act, if the diesel used to propel a road vehicle is drawn from a tank on the vehicle that also supplies diesel for purposes other than for propelling the vehicle, all diesel drawn from that tank is taken to be used to propel the vehicle.</w:t>
      </w:r>
    </w:p>
    <w:p>
      <w:pPr>
        <w:pStyle w:val="Heading5"/>
        <w:rPr>
          <w:snapToGrid w:val="0"/>
        </w:rPr>
      </w:pPr>
      <w:bookmarkStart w:id="10" w:name="_Toc469893003"/>
      <w:bookmarkStart w:id="11" w:name="_Toc527535560"/>
      <w:bookmarkStart w:id="12" w:name="_Toc530207184"/>
      <w:r>
        <w:rPr>
          <w:rStyle w:val="CharSectno"/>
        </w:rPr>
        <w:t>4</w:t>
      </w:r>
      <w:r>
        <w:rPr>
          <w:snapToGrid w:val="0"/>
        </w:rPr>
        <w:t>.</w:t>
      </w:r>
      <w:r>
        <w:rPr>
          <w:snapToGrid w:val="0"/>
        </w:rPr>
        <w:tab/>
        <w:t>Supply at the subsidized price</w:t>
      </w:r>
      <w:bookmarkEnd w:id="10"/>
      <w:bookmarkEnd w:id="11"/>
      <w:bookmarkEnd w:id="12"/>
      <w:r>
        <w:rPr>
          <w:snapToGrid w:val="0"/>
        </w:rPr>
        <w:t xml:space="preserve"> </w:t>
      </w:r>
    </w:p>
    <w:p>
      <w:pPr>
        <w:pStyle w:val="Subsection"/>
        <w:rPr>
          <w:snapToGrid w:val="0"/>
        </w:rPr>
      </w:pPr>
      <w:r>
        <w:rPr>
          <w:snapToGrid w:val="0"/>
        </w:rPr>
        <w:tab/>
        <w:t>(1)</w:t>
      </w:r>
      <w:r>
        <w:rPr>
          <w:snapToGrid w:val="0"/>
        </w:rPr>
        <w:tab/>
        <w:t>For the purposes of this Act, a quantity of diesel is supplied at the general subsidized price if it is supplied at a price per litre that is less than the price that would otherwise have been charged for supplying that quantity at the place of supply by an amount that is equal to or greater than the general diesel subsidy rate.</w:t>
      </w:r>
    </w:p>
    <w:p>
      <w:pPr>
        <w:pStyle w:val="Subsection"/>
        <w:rPr>
          <w:snapToGrid w:val="0"/>
        </w:rPr>
      </w:pPr>
      <w:r>
        <w:rPr>
          <w:snapToGrid w:val="0"/>
        </w:rPr>
        <w:tab/>
        <w:t>(2)</w:t>
      </w:r>
      <w:r>
        <w:rPr>
          <w:snapToGrid w:val="0"/>
        </w:rPr>
        <w:tab/>
        <w:t>For the purposes of this Act, a quantity of diesel is supplied at the ORD subsidized price if it is supplied at a price per litre that is less than the price that would otherwise have been charged for supplying that quantity at the place of supply by an amount that is equal to or greater than the ORD subsidy rate.</w:t>
      </w:r>
    </w:p>
    <w:p>
      <w:pPr>
        <w:pStyle w:val="Heading5"/>
        <w:rPr>
          <w:snapToGrid w:val="0"/>
        </w:rPr>
      </w:pPr>
      <w:bookmarkStart w:id="13" w:name="_Toc469893004"/>
      <w:bookmarkStart w:id="14" w:name="_Toc527535561"/>
      <w:bookmarkStart w:id="15" w:name="_Toc530207185"/>
      <w:r>
        <w:rPr>
          <w:rStyle w:val="CharSectno"/>
        </w:rPr>
        <w:t>5</w:t>
      </w:r>
      <w:r>
        <w:rPr>
          <w:snapToGrid w:val="0"/>
        </w:rPr>
        <w:t>.</w:t>
      </w:r>
      <w:r>
        <w:rPr>
          <w:snapToGrid w:val="0"/>
        </w:rPr>
        <w:tab/>
        <w:t>Crown bound</w:t>
      </w:r>
      <w:bookmarkEnd w:id="13"/>
      <w:bookmarkEnd w:id="14"/>
      <w:bookmarkEnd w:id="15"/>
      <w:r>
        <w:rPr>
          <w:snapToGrid w:val="0"/>
        </w:rPr>
        <w:t xml:space="preserve"> </w:t>
      </w:r>
    </w:p>
    <w:p>
      <w:pPr>
        <w:pStyle w:val="Subsection"/>
        <w:rPr>
          <w:snapToGrid w:val="0"/>
        </w:rPr>
      </w:pPr>
      <w:r>
        <w:rPr>
          <w:snapToGrid w:val="0"/>
        </w:rPr>
        <w:tab/>
      </w:r>
      <w:r>
        <w:rPr>
          <w:snapToGrid w:val="0"/>
        </w:rPr>
        <w:tab/>
        <w:t>This Act binds the Crown.</w:t>
      </w:r>
    </w:p>
    <w:p>
      <w:pPr>
        <w:pStyle w:val="Heading2"/>
      </w:pPr>
      <w:r>
        <w:rPr>
          <w:rStyle w:val="CharPartNo"/>
        </w:rPr>
        <w:t>Part 2</w:t>
      </w:r>
      <w:r>
        <w:rPr>
          <w:rStyle w:val="CharDivNo"/>
        </w:rPr>
        <w:t> </w:t>
      </w:r>
      <w:r>
        <w:t>—</w:t>
      </w:r>
      <w:r>
        <w:rPr>
          <w:rStyle w:val="CharDivText"/>
        </w:rPr>
        <w:t> </w:t>
      </w:r>
      <w:r>
        <w:rPr>
          <w:rStyle w:val="CharPartText"/>
        </w:rPr>
        <w:t xml:space="preserve">Suppliers of fuel </w:t>
      </w:r>
    </w:p>
    <w:p>
      <w:pPr>
        <w:pStyle w:val="Heading5"/>
        <w:rPr>
          <w:snapToGrid w:val="0"/>
        </w:rPr>
      </w:pPr>
      <w:bookmarkStart w:id="16" w:name="_Toc469893005"/>
      <w:bookmarkStart w:id="17" w:name="_Toc527535562"/>
      <w:bookmarkStart w:id="18" w:name="_Toc530207186"/>
      <w:r>
        <w:rPr>
          <w:rStyle w:val="CharSectno"/>
        </w:rPr>
        <w:t>6</w:t>
      </w:r>
      <w:r>
        <w:rPr>
          <w:snapToGrid w:val="0"/>
        </w:rPr>
        <w:t>.</w:t>
      </w:r>
      <w:r>
        <w:rPr>
          <w:snapToGrid w:val="0"/>
        </w:rPr>
        <w:tab/>
        <w:t>Suppliers of fuel to be licensed</w:t>
      </w:r>
      <w:bookmarkEnd w:id="16"/>
      <w:bookmarkEnd w:id="17"/>
      <w:bookmarkEnd w:id="18"/>
      <w:r>
        <w:rPr>
          <w:snapToGrid w:val="0"/>
        </w:rPr>
        <w:t xml:space="preserve"> </w:t>
      </w:r>
    </w:p>
    <w:p>
      <w:pPr>
        <w:pStyle w:val="Subsection"/>
        <w:rPr>
          <w:snapToGrid w:val="0"/>
        </w:rPr>
      </w:pPr>
      <w:r>
        <w:rPr>
          <w:snapToGrid w:val="0"/>
        </w:rPr>
        <w:tab/>
        <w:t>(1)</w:t>
      </w:r>
      <w:r>
        <w:rPr>
          <w:snapToGrid w:val="0"/>
        </w:rPr>
        <w:tab/>
        <w:t>A person must not carry on a business in WA of making initial supplies of prescribed fuel to places in WA unless the person holds a valid fuel supplier’s licence.</w:t>
      </w:r>
    </w:p>
    <w:p>
      <w:pPr>
        <w:pStyle w:val="Subsection"/>
        <w:rPr>
          <w:snapToGrid w:val="0"/>
        </w:rPr>
      </w:pPr>
      <w:r>
        <w:rPr>
          <w:snapToGrid w:val="0"/>
        </w:rPr>
        <w:tab/>
        <w:t>(2)</w:t>
      </w:r>
      <w:r>
        <w:rPr>
          <w:snapToGrid w:val="0"/>
        </w:rPr>
        <w:tab/>
        <w:t>A person must not carry on a business in another State or a Territory of supplying prescribed fuel to other persons who take delivery of the fuel at a place in WA unless the person holds a valid fuel supplier’s licence.</w:t>
      </w:r>
    </w:p>
    <w:p>
      <w:pPr>
        <w:pStyle w:val="Subsection"/>
        <w:rPr>
          <w:snapToGrid w:val="0"/>
        </w:rPr>
      </w:pPr>
      <w:r>
        <w:rPr>
          <w:snapToGrid w:val="0"/>
        </w:rPr>
        <w:tab/>
        <w:t>(3)</w:t>
      </w:r>
      <w:r>
        <w:rPr>
          <w:snapToGrid w:val="0"/>
        </w:rPr>
        <w:tab/>
        <w:t>A person must not carry on a business in WA of supplying prescribed fuel to other persons who take delivery of the fuel in another State or a Territory unless the person holds a valid fuel supplier’s licence.</w:t>
      </w:r>
    </w:p>
    <w:p>
      <w:pPr>
        <w:pStyle w:val="Subsection"/>
        <w:rPr>
          <w:snapToGrid w:val="0"/>
        </w:rPr>
      </w:pPr>
      <w:r>
        <w:rPr>
          <w:snapToGrid w:val="0"/>
        </w:rPr>
        <w:tab/>
        <w:t>(4)</w:t>
      </w:r>
      <w:r>
        <w:rPr>
          <w:snapToGrid w:val="0"/>
        </w:rPr>
        <w:tab/>
        <w:t>A person who contravenes this section commits an offence.</w:t>
      </w:r>
    </w:p>
    <w:p>
      <w:pPr>
        <w:pStyle w:val="Subsection"/>
        <w:rPr>
          <w:snapToGrid w:val="0"/>
        </w:rPr>
      </w:pPr>
      <w:r>
        <w:rPr>
          <w:snapToGrid w:val="0"/>
        </w:rPr>
        <w:tab/>
        <w:t>(5)</w:t>
      </w:r>
      <w:r>
        <w:rPr>
          <w:snapToGrid w:val="0"/>
        </w:rPr>
        <w:tab/>
        <w:t>For the purpose of subsection (1), a person makes an initial supply of prescribed fuel to a place in WA if the person — </w:t>
      </w:r>
    </w:p>
    <w:p>
      <w:pPr>
        <w:pStyle w:val="Indenta"/>
        <w:rPr>
          <w:snapToGrid w:val="0"/>
        </w:rPr>
      </w:pPr>
      <w:r>
        <w:rPr>
          <w:snapToGrid w:val="0"/>
        </w:rPr>
        <w:tab/>
        <w:t>(a)</w:t>
      </w:r>
      <w:r>
        <w:rPr>
          <w:snapToGrid w:val="0"/>
        </w:rPr>
        <w:tab/>
        <w:t xml:space="preserve">for the purposes of the </w:t>
      </w:r>
      <w:r>
        <w:rPr>
          <w:i/>
          <w:snapToGrid w:val="0"/>
        </w:rPr>
        <w:t>Customs Act 1901</w:t>
      </w:r>
      <w:r>
        <w:rPr>
          <w:snapToGrid w:val="0"/>
        </w:rPr>
        <w:t xml:space="preserve"> or </w:t>
      </w:r>
      <w:r>
        <w:rPr>
          <w:i/>
          <w:snapToGrid w:val="0"/>
        </w:rPr>
        <w:t>Excise Act 1901</w:t>
      </w:r>
      <w:r>
        <w:rPr>
          <w:snapToGrid w:val="0"/>
        </w:rPr>
        <w:t xml:space="preserve"> of the Commonwealth, enters the fuel for home consumption or delivers the fuel for or into home consumption;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supplies the fuel to another person who takes delivery of the fuel at a place in WA; or</w:t>
      </w:r>
    </w:p>
    <w:p>
      <w:pPr>
        <w:pStyle w:val="Indenti"/>
        <w:rPr>
          <w:snapToGrid w:val="0"/>
        </w:rPr>
      </w:pPr>
      <w:r>
        <w:rPr>
          <w:snapToGrid w:val="0"/>
        </w:rPr>
        <w:tab/>
        <w:t>(ii)</w:t>
      </w:r>
      <w:r>
        <w:rPr>
          <w:snapToGrid w:val="0"/>
        </w:rPr>
        <w:tab/>
        <w:t>consumes the fuel at a place in WA for the person’s own purposes.</w:t>
      </w:r>
    </w:p>
    <w:p>
      <w:pPr>
        <w:pStyle w:val="Heading5"/>
        <w:rPr>
          <w:snapToGrid w:val="0"/>
        </w:rPr>
      </w:pPr>
      <w:bookmarkStart w:id="19" w:name="_Toc469893006"/>
      <w:bookmarkStart w:id="20" w:name="_Toc527535563"/>
      <w:bookmarkStart w:id="21" w:name="_Toc530207187"/>
      <w:r>
        <w:rPr>
          <w:rStyle w:val="CharSectno"/>
        </w:rPr>
        <w:t>7</w:t>
      </w:r>
      <w:r>
        <w:rPr>
          <w:snapToGrid w:val="0"/>
        </w:rPr>
        <w:t>.</w:t>
      </w:r>
      <w:r>
        <w:rPr>
          <w:snapToGrid w:val="0"/>
        </w:rPr>
        <w:tab/>
        <w:t xml:space="preserve">Applying for a fuel supplier’s </w:t>
      </w:r>
      <w:bookmarkEnd w:id="19"/>
      <w:r>
        <w:rPr>
          <w:snapToGrid w:val="0"/>
        </w:rPr>
        <w:t>licence</w:t>
      </w:r>
      <w:bookmarkEnd w:id="20"/>
      <w:bookmarkEnd w:id="21"/>
      <w:r>
        <w:rPr>
          <w:snapToGrid w:val="0"/>
        </w:rPr>
        <w:t xml:space="preserve"> </w:t>
      </w:r>
    </w:p>
    <w:p>
      <w:pPr>
        <w:pStyle w:val="Subsection"/>
        <w:spacing w:before="140"/>
        <w:rPr>
          <w:snapToGrid w:val="0"/>
        </w:rPr>
      </w:pPr>
      <w:r>
        <w:rPr>
          <w:snapToGrid w:val="0"/>
        </w:rPr>
        <w:tab/>
        <w:t>(1)</w:t>
      </w:r>
      <w:r>
        <w:rPr>
          <w:snapToGrid w:val="0"/>
        </w:rPr>
        <w:tab/>
        <w:t>An application for a fuel supplier’s licence must be made to the Commissioner in an approved form.</w:t>
      </w:r>
    </w:p>
    <w:p>
      <w:pPr>
        <w:pStyle w:val="Subsection"/>
        <w:spacing w:before="140"/>
        <w:rPr>
          <w:snapToGrid w:val="0"/>
        </w:rPr>
      </w:pPr>
      <w:r>
        <w:rPr>
          <w:snapToGrid w:val="0"/>
        </w:rPr>
        <w:tab/>
        <w:t>(2)</w:t>
      </w:r>
      <w:r>
        <w:rPr>
          <w:snapToGrid w:val="0"/>
        </w:rPr>
        <w:tab/>
        <w:t>The application must be accompanied by the prescribed fee for the issue of the fuel supplier’s licence.</w:t>
      </w:r>
    </w:p>
    <w:p>
      <w:pPr>
        <w:pStyle w:val="Subsection"/>
        <w:rPr>
          <w:snapToGrid w:val="0"/>
        </w:rPr>
      </w:pPr>
      <w:r>
        <w:rPr>
          <w:snapToGrid w:val="0"/>
        </w:rPr>
        <w:tab/>
        <w:t>(3)</w:t>
      </w:r>
      <w:r>
        <w:rPr>
          <w:snapToGrid w:val="0"/>
        </w:rPr>
        <w:tab/>
        <w:t>A person who is a licensed supplier or an authorised distributor, can not apply for a fuel supplier’s licence.</w:t>
      </w:r>
    </w:p>
    <w:p>
      <w:pPr>
        <w:pStyle w:val="Heading5"/>
        <w:rPr>
          <w:snapToGrid w:val="0"/>
        </w:rPr>
      </w:pPr>
      <w:bookmarkStart w:id="22" w:name="_Toc469893007"/>
      <w:bookmarkStart w:id="23" w:name="_Toc527535564"/>
      <w:bookmarkStart w:id="24" w:name="_Toc530207188"/>
      <w:r>
        <w:rPr>
          <w:rStyle w:val="CharSectno"/>
        </w:rPr>
        <w:t>8</w:t>
      </w:r>
      <w:r>
        <w:rPr>
          <w:snapToGrid w:val="0"/>
        </w:rPr>
        <w:t>.</w:t>
      </w:r>
      <w:r>
        <w:rPr>
          <w:snapToGrid w:val="0"/>
        </w:rPr>
        <w:tab/>
        <w:t xml:space="preserve">Issue of a fuel supplier’s </w:t>
      </w:r>
      <w:bookmarkEnd w:id="22"/>
      <w:r>
        <w:rPr>
          <w:snapToGrid w:val="0"/>
        </w:rPr>
        <w:t>licence</w:t>
      </w:r>
      <w:bookmarkEnd w:id="23"/>
      <w:bookmarkEnd w:id="24"/>
      <w:r>
        <w:rPr>
          <w:snapToGrid w:val="0"/>
        </w:rPr>
        <w:t xml:space="preserve"> </w:t>
      </w:r>
    </w:p>
    <w:p>
      <w:pPr>
        <w:pStyle w:val="Subsection"/>
        <w:rPr>
          <w:snapToGrid w:val="0"/>
        </w:rPr>
      </w:pPr>
      <w:r>
        <w:rPr>
          <w:snapToGrid w:val="0"/>
        </w:rPr>
        <w:tab/>
        <w:t>(1)</w:t>
      </w:r>
      <w:r>
        <w:rPr>
          <w:snapToGrid w:val="0"/>
        </w:rPr>
        <w:tab/>
        <w:t>If an application is made in accordance with section 7, the Commissioner may issue the applicant with a fuel supplier’s licence.</w:t>
      </w:r>
    </w:p>
    <w:p>
      <w:pPr>
        <w:pStyle w:val="Subsection"/>
        <w:rPr>
          <w:snapToGrid w:val="0"/>
        </w:rPr>
      </w:pPr>
      <w:r>
        <w:rPr>
          <w:snapToGrid w:val="0"/>
        </w:rPr>
        <w:tab/>
        <w:t>(2)</w:t>
      </w:r>
      <w:r>
        <w:rPr>
          <w:snapToGrid w:val="0"/>
        </w:rPr>
        <w:tab/>
        <w:t>A fuel supplier’s licence is valid for the prescribed period unless it is cancelled under section 40 or 41.</w:t>
      </w:r>
    </w:p>
    <w:p>
      <w:pPr>
        <w:pStyle w:val="Heading5"/>
        <w:rPr>
          <w:snapToGrid w:val="0"/>
        </w:rPr>
      </w:pPr>
      <w:bookmarkStart w:id="25" w:name="_Toc469893008"/>
      <w:bookmarkStart w:id="26" w:name="_Toc527535565"/>
      <w:bookmarkStart w:id="27" w:name="_Toc530207189"/>
      <w:r>
        <w:rPr>
          <w:rStyle w:val="CharSectno"/>
        </w:rPr>
        <w:t>9</w:t>
      </w:r>
      <w:r>
        <w:rPr>
          <w:snapToGrid w:val="0"/>
        </w:rPr>
        <w:t>.</w:t>
      </w:r>
      <w:r>
        <w:rPr>
          <w:snapToGrid w:val="0"/>
        </w:rPr>
        <w:tab/>
        <w:t xml:space="preserve">Conditions of a fuel supplier’s </w:t>
      </w:r>
      <w:bookmarkEnd w:id="25"/>
      <w:r>
        <w:rPr>
          <w:snapToGrid w:val="0"/>
        </w:rPr>
        <w:t>licence</w:t>
      </w:r>
      <w:bookmarkEnd w:id="26"/>
      <w:bookmarkEnd w:id="27"/>
      <w:r>
        <w:rPr>
          <w:snapToGrid w:val="0"/>
        </w:rPr>
        <w:t xml:space="preserve"> </w:t>
      </w:r>
    </w:p>
    <w:p>
      <w:pPr>
        <w:pStyle w:val="Subsection"/>
        <w:rPr>
          <w:snapToGrid w:val="0"/>
        </w:rPr>
      </w:pPr>
      <w:r>
        <w:rPr>
          <w:snapToGrid w:val="0"/>
        </w:rPr>
        <w:tab/>
      </w:r>
      <w:r>
        <w:rPr>
          <w:snapToGrid w:val="0"/>
        </w:rPr>
        <w:tab/>
        <w:t>A fuel supplier’s licence is subject to these conditions:</w:t>
      </w:r>
    </w:p>
    <w:p>
      <w:pPr>
        <w:pStyle w:val="Indenta"/>
        <w:rPr>
          <w:snapToGrid w:val="0"/>
        </w:rPr>
      </w:pPr>
      <w:r>
        <w:rPr>
          <w:snapToGrid w:val="0"/>
        </w:rPr>
        <w:tab/>
        <w:t>(a)</w:t>
      </w:r>
      <w:r>
        <w:rPr>
          <w:snapToGrid w:val="0"/>
        </w:rPr>
        <w:tab/>
        <w:t>the holder must keep the general records that are prescribed;</w:t>
      </w:r>
    </w:p>
    <w:p>
      <w:pPr>
        <w:pStyle w:val="Indenta"/>
        <w:rPr>
          <w:snapToGrid w:val="0"/>
        </w:rPr>
      </w:pPr>
      <w:r>
        <w:rPr>
          <w:snapToGrid w:val="0"/>
        </w:rPr>
        <w:tab/>
        <w:t>(b)</w:t>
      </w:r>
      <w:r>
        <w:rPr>
          <w:snapToGrid w:val="0"/>
        </w:rPr>
        <w:tab/>
        <w:t>the holder must comply with the diesel supply conditions set out in section 10;</w:t>
      </w:r>
    </w:p>
    <w:p>
      <w:pPr>
        <w:pStyle w:val="Indenta"/>
        <w:rPr>
          <w:snapToGrid w:val="0"/>
        </w:rPr>
      </w:pPr>
      <w:r>
        <w:rPr>
          <w:snapToGrid w:val="0"/>
        </w:rPr>
        <w:tab/>
        <w:t>(c)</w:t>
      </w:r>
      <w:r>
        <w:rPr>
          <w:snapToGrid w:val="0"/>
        </w:rPr>
        <w:tab/>
        <w:t>the holder must comply with the ORD compensation conditions set out in section 11;</w:t>
      </w:r>
    </w:p>
    <w:p>
      <w:pPr>
        <w:pStyle w:val="Indenta"/>
        <w:rPr>
          <w:snapToGrid w:val="0"/>
        </w:rPr>
      </w:pPr>
      <w:r>
        <w:rPr>
          <w:snapToGrid w:val="0"/>
        </w:rPr>
        <w:tab/>
        <w:t>(d)</w:t>
      </w:r>
      <w:r>
        <w:rPr>
          <w:snapToGrid w:val="0"/>
        </w:rPr>
        <w:tab/>
        <w:t>the holder must comply with the diesel record conditions set out in section 12;</w:t>
      </w:r>
    </w:p>
    <w:p>
      <w:pPr>
        <w:pStyle w:val="Indenta"/>
        <w:rPr>
          <w:snapToGrid w:val="0"/>
        </w:rPr>
      </w:pPr>
      <w:r>
        <w:rPr>
          <w:snapToGrid w:val="0"/>
        </w:rPr>
        <w:tab/>
        <w:t>(e)</w:t>
      </w:r>
      <w:r>
        <w:rPr>
          <w:snapToGrid w:val="0"/>
        </w:rPr>
        <w:tab/>
        <w:t>the holder must comply with any other conditions that the Commissioner imposes under section 37.</w:t>
      </w:r>
    </w:p>
    <w:p>
      <w:pPr>
        <w:pStyle w:val="Heading5"/>
        <w:rPr>
          <w:snapToGrid w:val="0"/>
        </w:rPr>
      </w:pPr>
      <w:bookmarkStart w:id="28" w:name="_Toc469893009"/>
      <w:bookmarkStart w:id="29" w:name="_Toc527535566"/>
      <w:bookmarkStart w:id="30" w:name="_Toc530207190"/>
      <w:r>
        <w:rPr>
          <w:rStyle w:val="CharSectno"/>
        </w:rPr>
        <w:t>10</w:t>
      </w:r>
      <w:r>
        <w:rPr>
          <w:snapToGrid w:val="0"/>
        </w:rPr>
        <w:t>.</w:t>
      </w:r>
      <w:r>
        <w:rPr>
          <w:snapToGrid w:val="0"/>
        </w:rPr>
        <w:tab/>
        <w:t>Diesel supply conditions</w:t>
      </w:r>
      <w:bookmarkEnd w:id="28"/>
      <w:bookmarkEnd w:id="29"/>
      <w:bookmarkEnd w:id="30"/>
      <w:r>
        <w:rPr>
          <w:snapToGrid w:val="0"/>
        </w:rPr>
        <w:t xml:space="preserve"> </w:t>
      </w:r>
    </w:p>
    <w:p>
      <w:pPr>
        <w:pStyle w:val="Subsection"/>
        <w:rPr>
          <w:snapToGrid w:val="0"/>
        </w:rPr>
      </w:pPr>
      <w:r>
        <w:rPr>
          <w:snapToGrid w:val="0"/>
        </w:rPr>
        <w:tab/>
        <w:t>(1)</w:t>
      </w:r>
      <w:r>
        <w:rPr>
          <w:snapToGrid w:val="0"/>
        </w:rPr>
        <w:tab/>
        <w:t>This section sets out the diesel supply conditions of a fuel supplier’s licence.</w:t>
      </w:r>
    </w:p>
    <w:p>
      <w:pPr>
        <w:pStyle w:val="Subsection"/>
        <w:rPr>
          <w:snapToGrid w:val="0"/>
        </w:rPr>
      </w:pPr>
      <w:r>
        <w:rPr>
          <w:snapToGrid w:val="0"/>
        </w:rPr>
        <w:tab/>
        <w:t>(2)</w:t>
      </w:r>
      <w:r>
        <w:rPr>
          <w:snapToGrid w:val="0"/>
        </w:rPr>
        <w:tab/>
        <w:t>If the holder supplies diesel to another person who is at a place in WA the holder must supply it at the general subsidized price.</w:t>
      </w:r>
    </w:p>
    <w:p>
      <w:pPr>
        <w:pStyle w:val="Subsection"/>
        <w:rPr>
          <w:snapToGrid w:val="0"/>
        </w:rPr>
      </w:pPr>
      <w:r>
        <w:rPr>
          <w:snapToGrid w:val="0"/>
        </w:rPr>
        <w:tab/>
        <w:t>(3)</w:t>
      </w:r>
      <w:r>
        <w:rPr>
          <w:snapToGrid w:val="0"/>
        </w:rPr>
        <w:tab/>
        <w:t>If the holder supplies diesel to a certified user and is satisfied that the diesel will not be used to propel a road vehicle on a public road, the holder must supply the user with diesel at the ORD subsidized price.</w:t>
      </w:r>
    </w:p>
    <w:p>
      <w:pPr>
        <w:pStyle w:val="Heading5"/>
        <w:rPr>
          <w:snapToGrid w:val="0"/>
        </w:rPr>
      </w:pPr>
      <w:bookmarkStart w:id="31" w:name="_Toc469893010"/>
      <w:bookmarkStart w:id="32" w:name="_Toc527535567"/>
      <w:bookmarkStart w:id="33" w:name="_Toc530207191"/>
      <w:r>
        <w:rPr>
          <w:rStyle w:val="CharSectno"/>
        </w:rPr>
        <w:t>11</w:t>
      </w:r>
      <w:r>
        <w:rPr>
          <w:snapToGrid w:val="0"/>
        </w:rPr>
        <w:t>.</w:t>
      </w:r>
      <w:r>
        <w:rPr>
          <w:snapToGrid w:val="0"/>
        </w:rPr>
        <w:tab/>
        <w:t>ORD compensation conditions</w:t>
      </w:r>
      <w:bookmarkEnd w:id="31"/>
      <w:bookmarkEnd w:id="32"/>
      <w:bookmarkEnd w:id="33"/>
      <w:r>
        <w:rPr>
          <w:snapToGrid w:val="0"/>
        </w:rPr>
        <w:t xml:space="preserve"> </w:t>
      </w:r>
    </w:p>
    <w:p>
      <w:pPr>
        <w:pStyle w:val="Subsection"/>
        <w:rPr>
          <w:snapToGrid w:val="0"/>
        </w:rPr>
      </w:pPr>
      <w:r>
        <w:rPr>
          <w:snapToGrid w:val="0"/>
        </w:rPr>
        <w:tab/>
        <w:t>(1)</w:t>
      </w:r>
      <w:r>
        <w:rPr>
          <w:snapToGrid w:val="0"/>
        </w:rPr>
        <w:tab/>
        <w:t>This section sets out the ORD compensation conditions of a fuel supplier’s licence.</w:t>
      </w:r>
    </w:p>
    <w:p>
      <w:pPr>
        <w:pStyle w:val="Subsection"/>
        <w:rPr>
          <w:snapToGrid w:val="0"/>
        </w:rPr>
      </w:pPr>
      <w:r>
        <w:rPr>
          <w:snapToGrid w:val="0"/>
        </w:rPr>
        <w:tab/>
        <w:t>(2)</w:t>
      </w:r>
      <w:r>
        <w:rPr>
          <w:snapToGrid w:val="0"/>
        </w:rPr>
        <w:tab/>
        <w:t>The holder must compensate an authorised distributor in respect of a quantity of diesel that has been supplied at the ORD subsidized price to a certified user (whether by that distributor or another authorised distributor) if the distributor — </w:t>
      </w:r>
    </w:p>
    <w:p>
      <w:pPr>
        <w:pStyle w:val="Indenta"/>
        <w:rPr>
          <w:snapToGrid w:val="0"/>
        </w:rPr>
      </w:pPr>
      <w:r>
        <w:rPr>
          <w:snapToGrid w:val="0"/>
        </w:rPr>
        <w:tab/>
        <w:t>(a)</w:t>
      </w:r>
      <w:r>
        <w:rPr>
          <w:snapToGrid w:val="0"/>
        </w:rPr>
        <w:tab/>
        <w:t>makes a request as referred to in section 20(2); and</w:t>
      </w:r>
    </w:p>
    <w:p>
      <w:pPr>
        <w:pStyle w:val="Indenta"/>
        <w:rPr>
          <w:snapToGrid w:val="0"/>
        </w:rPr>
      </w:pPr>
      <w:r>
        <w:rPr>
          <w:snapToGrid w:val="0"/>
        </w:rPr>
        <w:tab/>
        <w:t>(b)</w:t>
      </w:r>
      <w:r>
        <w:rPr>
          <w:snapToGrid w:val="0"/>
        </w:rPr>
        <w:tab/>
        <w:t>provides the holder with the records referred to in section 20(3) of that supply to the certified user.</w:t>
      </w:r>
    </w:p>
    <w:p>
      <w:pPr>
        <w:pStyle w:val="Subsection"/>
        <w:rPr>
          <w:snapToGrid w:val="0"/>
        </w:rPr>
      </w:pPr>
      <w:r>
        <w:rPr>
          <w:snapToGrid w:val="0"/>
        </w:rPr>
        <w:tab/>
        <w:t>(3)</w:t>
      </w:r>
      <w:r>
        <w:rPr>
          <w:snapToGrid w:val="0"/>
        </w:rPr>
        <w:tab/>
        <w:t>The value of the compensation must be that calculated under the regulations.</w:t>
      </w:r>
    </w:p>
    <w:p>
      <w:pPr>
        <w:pStyle w:val="Subsection"/>
        <w:rPr>
          <w:snapToGrid w:val="0"/>
        </w:rPr>
      </w:pPr>
      <w:r>
        <w:rPr>
          <w:snapToGrid w:val="0"/>
        </w:rPr>
        <w:tab/>
        <w:t>(4)</w:t>
      </w:r>
      <w:r>
        <w:rPr>
          <w:snapToGrid w:val="0"/>
        </w:rPr>
        <w:tab/>
        <w:t>The holder must compensate the authorised distributor within 30 days after the distributor provides the records.</w:t>
      </w:r>
    </w:p>
    <w:p>
      <w:pPr>
        <w:pStyle w:val="Heading5"/>
        <w:rPr>
          <w:snapToGrid w:val="0"/>
        </w:rPr>
      </w:pPr>
      <w:bookmarkStart w:id="34" w:name="_Toc469893011"/>
      <w:bookmarkStart w:id="35" w:name="_Toc527535568"/>
      <w:bookmarkStart w:id="36" w:name="_Toc530207192"/>
      <w:r>
        <w:rPr>
          <w:rStyle w:val="CharSectno"/>
        </w:rPr>
        <w:t>12</w:t>
      </w:r>
      <w:r>
        <w:rPr>
          <w:snapToGrid w:val="0"/>
        </w:rPr>
        <w:t>.</w:t>
      </w:r>
      <w:r>
        <w:rPr>
          <w:snapToGrid w:val="0"/>
        </w:rPr>
        <w:tab/>
        <w:t>Diesel record conditions</w:t>
      </w:r>
      <w:bookmarkEnd w:id="34"/>
      <w:bookmarkEnd w:id="35"/>
      <w:bookmarkEnd w:id="36"/>
      <w:r>
        <w:rPr>
          <w:snapToGrid w:val="0"/>
        </w:rPr>
        <w:t xml:space="preserve"> </w:t>
      </w:r>
    </w:p>
    <w:p>
      <w:pPr>
        <w:pStyle w:val="Subsection"/>
        <w:rPr>
          <w:snapToGrid w:val="0"/>
        </w:rPr>
      </w:pPr>
      <w:r>
        <w:rPr>
          <w:snapToGrid w:val="0"/>
        </w:rPr>
        <w:tab/>
        <w:t>(1)</w:t>
      </w:r>
      <w:r>
        <w:rPr>
          <w:snapToGrid w:val="0"/>
        </w:rPr>
        <w:tab/>
        <w:t>This section sets out the diesel record conditions of a fuel supplier’s licence.</w:t>
      </w:r>
    </w:p>
    <w:p>
      <w:pPr>
        <w:pStyle w:val="Subsection"/>
        <w:rPr>
          <w:snapToGrid w:val="0"/>
        </w:rPr>
      </w:pPr>
      <w:r>
        <w:rPr>
          <w:snapToGrid w:val="0"/>
        </w:rPr>
        <w:tab/>
        <w:t>(2)</w:t>
      </w:r>
      <w:r>
        <w:rPr>
          <w:snapToGrid w:val="0"/>
        </w:rPr>
        <w:tab/>
        <w:t>The holder must keep prescribed records — </w:t>
      </w:r>
    </w:p>
    <w:p>
      <w:pPr>
        <w:pStyle w:val="Indenta"/>
        <w:rPr>
          <w:snapToGrid w:val="0"/>
        </w:rPr>
      </w:pPr>
      <w:r>
        <w:rPr>
          <w:snapToGrid w:val="0"/>
        </w:rPr>
        <w:tab/>
        <w:t>(a)</w:t>
      </w:r>
      <w:r>
        <w:rPr>
          <w:snapToGrid w:val="0"/>
        </w:rPr>
        <w:tab/>
        <w:t>of every supply of diesel by the holder to a person at the general subsidized price;</w:t>
      </w:r>
    </w:p>
    <w:p>
      <w:pPr>
        <w:pStyle w:val="Indenta"/>
        <w:rPr>
          <w:snapToGrid w:val="0"/>
        </w:rPr>
      </w:pPr>
      <w:r>
        <w:rPr>
          <w:snapToGrid w:val="0"/>
        </w:rPr>
        <w:tab/>
        <w:t>(b)</w:t>
      </w:r>
      <w:r>
        <w:rPr>
          <w:snapToGrid w:val="0"/>
        </w:rPr>
        <w:tab/>
        <w:t>of every supply of diesel by the holder to a certified user at the ORD subsidized price;</w:t>
      </w:r>
    </w:p>
    <w:p>
      <w:pPr>
        <w:pStyle w:val="Indenta"/>
        <w:rPr>
          <w:snapToGrid w:val="0"/>
        </w:rPr>
      </w:pPr>
      <w:r>
        <w:rPr>
          <w:snapToGrid w:val="0"/>
        </w:rPr>
        <w:tab/>
        <w:t>(c)</w:t>
      </w:r>
      <w:r>
        <w:rPr>
          <w:snapToGrid w:val="0"/>
        </w:rPr>
        <w:tab/>
        <w:t>of any compensation made by the holder to an authorised distributor in respect of diesel supplied at the ORD subsidized price to a certified user (whether by that distributor or another distributor);</w:t>
      </w:r>
    </w:p>
    <w:p>
      <w:pPr>
        <w:pStyle w:val="Indenta"/>
        <w:rPr>
          <w:snapToGrid w:val="0"/>
        </w:rPr>
      </w:pPr>
      <w:r>
        <w:rPr>
          <w:snapToGrid w:val="0"/>
        </w:rPr>
        <w:tab/>
        <w:t>(d)</w:t>
      </w:r>
      <w:r>
        <w:rPr>
          <w:snapToGrid w:val="0"/>
        </w:rPr>
        <w:tab/>
        <w:t>of any use by the holder of diesel for propelling a road vehicle on a public road; and</w:t>
      </w:r>
    </w:p>
    <w:p>
      <w:pPr>
        <w:pStyle w:val="Indenta"/>
        <w:rPr>
          <w:snapToGrid w:val="0"/>
        </w:rPr>
      </w:pPr>
      <w:r>
        <w:rPr>
          <w:snapToGrid w:val="0"/>
        </w:rPr>
        <w:tab/>
        <w:t>(e)</w:t>
      </w:r>
      <w:r>
        <w:rPr>
          <w:snapToGrid w:val="0"/>
        </w:rPr>
        <w:tab/>
        <w:t>if the holder is also a certified user, of any use of diesel under the user’s ORD user’s certificate.</w:t>
      </w:r>
    </w:p>
    <w:p>
      <w:pPr>
        <w:pStyle w:val="Subsection"/>
        <w:rPr>
          <w:snapToGrid w:val="0"/>
        </w:rPr>
      </w:pPr>
      <w:r>
        <w:rPr>
          <w:snapToGrid w:val="0"/>
        </w:rPr>
        <w:tab/>
        <w:t>(3)</w:t>
      </w:r>
      <w:r>
        <w:rPr>
          <w:snapToGrid w:val="0"/>
        </w:rPr>
        <w:tab/>
        <w:t>The holder must keep those records for 5 years after the date of any claim made under Part 6 for a subsidy for the diesel supplied or used.</w:t>
      </w:r>
    </w:p>
    <w:p>
      <w:pPr>
        <w:pStyle w:val="Subsection"/>
        <w:rPr>
          <w:snapToGrid w:val="0"/>
        </w:rPr>
      </w:pPr>
      <w:r>
        <w:rPr>
          <w:snapToGrid w:val="0"/>
        </w:rPr>
        <w:tab/>
        <w:t>(4)</w:t>
      </w:r>
      <w:r>
        <w:rPr>
          <w:snapToGrid w:val="0"/>
        </w:rPr>
        <w:tab/>
        <w:t>Subsection (3) applies even though a person ceases to be a licensed supplier.</w:t>
      </w:r>
    </w:p>
    <w:p>
      <w:pPr>
        <w:pStyle w:val="Heading5"/>
        <w:rPr>
          <w:snapToGrid w:val="0"/>
        </w:rPr>
      </w:pPr>
      <w:bookmarkStart w:id="37" w:name="_Toc469893012"/>
      <w:bookmarkStart w:id="38" w:name="_Toc527535569"/>
      <w:bookmarkStart w:id="39" w:name="_Toc530207193"/>
      <w:r>
        <w:rPr>
          <w:rStyle w:val="CharSectno"/>
        </w:rPr>
        <w:t>13</w:t>
      </w:r>
      <w:r>
        <w:rPr>
          <w:snapToGrid w:val="0"/>
        </w:rPr>
        <w:t>.</w:t>
      </w:r>
      <w:r>
        <w:rPr>
          <w:snapToGrid w:val="0"/>
        </w:rPr>
        <w:tab/>
        <w:t>Form of compensation</w:t>
      </w:r>
      <w:bookmarkEnd w:id="37"/>
      <w:bookmarkEnd w:id="38"/>
      <w:bookmarkEnd w:id="39"/>
      <w:r>
        <w:rPr>
          <w:snapToGrid w:val="0"/>
        </w:rPr>
        <w:t xml:space="preserve"> </w:t>
      </w:r>
    </w:p>
    <w:p>
      <w:pPr>
        <w:pStyle w:val="Subsection"/>
        <w:rPr>
          <w:snapToGrid w:val="0"/>
        </w:rPr>
      </w:pPr>
      <w:r>
        <w:rPr>
          <w:snapToGrid w:val="0"/>
        </w:rPr>
        <w:tab/>
      </w:r>
      <w:r>
        <w:rPr>
          <w:snapToGrid w:val="0"/>
        </w:rPr>
        <w:tab/>
        <w:t>Compensation to be made by a licensed supplier to an authorised distributor is to be in a form agreed by them.</w:t>
      </w:r>
    </w:p>
    <w:p>
      <w:pPr>
        <w:pStyle w:val="Heading2"/>
      </w:pPr>
      <w:r>
        <w:rPr>
          <w:rStyle w:val="CharPartNo"/>
        </w:rPr>
        <w:t>Part 3</w:t>
      </w:r>
      <w:r>
        <w:rPr>
          <w:rStyle w:val="CharDivNo"/>
        </w:rPr>
        <w:t> </w:t>
      </w:r>
      <w:r>
        <w:t>—</w:t>
      </w:r>
      <w:r>
        <w:rPr>
          <w:rStyle w:val="CharDivText"/>
        </w:rPr>
        <w:t> </w:t>
      </w:r>
      <w:r>
        <w:rPr>
          <w:rStyle w:val="CharPartText"/>
        </w:rPr>
        <w:t>Distributors of off</w:t>
      </w:r>
      <w:r>
        <w:rPr>
          <w:rStyle w:val="CharPartText"/>
        </w:rPr>
        <w:noBreakHyphen/>
        <w:t xml:space="preserve">road diesel </w:t>
      </w:r>
    </w:p>
    <w:p>
      <w:pPr>
        <w:pStyle w:val="Heading5"/>
        <w:rPr>
          <w:snapToGrid w:val="0"/>
        </w:rPr>
      </w:pPr>
      <w:bookmarkStart w:id="40" w:name="_Toc469893013"/>
      <w:bookmarkStart w:id="41" w:name="_Toc527535570"/>
      <w:bookmarkStart w:id="42" w:name="_Toc530207194"/>
      <w:r>
        <w:rPr>
          <w:rStyle w:val="CharSectno"/>
        </w:rPr>
        <w:t>14</w:t>
      </w:r>
      <w:r>
        <w:rPr>
          <w:snapToGrid w:val="0"/>
        </w:rPr>
        <w:t>.</w:t>
      </w:r>
      <w:r>
        <w:rPr>
          <w:snapToGrid w:val="0"/>
        </w:rPr>
        <w:tab/>
        <w:t>Who may apply for an ORD distributor’s authority</w:t>
      </w:r>
      <w:bookmarkEnd w:id="40"/>
      <w:bookmarkEnd w:id="41"/>
      <w:bookmarkEnd w:id="42"/>
      <w:r>
        <w:rPr>
          <w:snapToGrid w:val="0"/>
        </w:rPr>
        <w:t xml:space="preserve"> </w:t>
      </w:r>
    </w:p>
    <w:p>
      <w:pPr>
        <w:pStyle w:val="Subsection"/>
        <w:rPr>
          <w:snapToGrid w:val="0"/>
        </w:rPr>
      </w:pPr>
      <w:r>
        <w:rPr>
          <w:snapToGrid w:val="0"/>
        </w:rPr>
        <w:tab/>
        <w:t>(1)</w:t>
      </w:r>
      <w:r>
        <w:rPr>
          <w:snapToGrid w:val="0"/>
        </w:rPr>
        <w:tab/>
        <w:t>If a person wants to supply diesel at the ORD subsidized price to certified users, or other authorised distributors, who are at places in WA and to be compensated for doing so, the person may apply for an ORD distributor’s authority.</w:t>
      </w:r>
    </w:p>
    <w:p>
      <w:pPr>
        <w:pStyle w:val="Subsection"/>
        <w:rPr>
          <w:snapToGrid w:val="0"/>
        </w:rPr>
      </w:pPr>
      <w:r>
        <w:rPr>
          <w:snapToGrid w:val="0"/>
        </w:rPr>
        <w:tab/>
        <w:t>(2)</w:t>
      </w:r>
      <w:r>
        <w:rPr>
          <w:snapToGrid w:val="0"/>
        </w:rPr>
        <w:tab/>
        <w:t>A licensed supplier cannot apply for an ORD distributor’s authority.</w:t>
      </w:r>
    </w:p>
    <w:p>
      <w:pPr>
        <w:pStyle w:val="Heading5"/>
        <w:rPr>
          <w:snapToGrid w:val="0"/>
        </w:rPr>
      </w:pPr>
      <w:bookmarkStart w:id="43" w:name="_Toc469893014"/>
      <w:bookmarkStart w:id="44" w:name="_Toc527535571"/>
      <w:bookmarkStart w:id="45" w:name="_Toc530207195"/>
      <w:r>
        <w:rPr>
          <w:rStyle w:val="CharSectno"/>
        </w:rPr>
        <w:t>15</w:t>
      </w:r>
      <w:r>
        <w:rPr>
          <w:snapToGrid w:val="0"/>
        </w:rPr>
        <w:t>.</w:t>
      </w:r>
      <w:r>
        <w:rPr>
          <w:snapToGrid w:val="0"/>
        </w:rPr>
        <w:tab/>
        <w:t>Applying for an ORD distributor’s authority</w:t>
      </w:r>
      <w:bookmarkEnd w:id="43"/>
      <w:bookmarkEnd w:id="44"/>
      <w:bookmarkEnd w:id="45"/>
      <w:r>
        <w:rPr>
          <w:snapToGrid w:val="0"/>
        </w:rPr>
        <w:t xml:space="preserve"> </w:t>
      </w:r>
    </w:p>
    <w:p>
      <w:pPr>
        <w:pStyle w:val="Subsection"/>
        <w:rPr>
          <w:snapToGrid w:val="0"/>
        </w:rPr>
      </w:pPr>
      <w:r>
        <w:rPr>
          <w:snapToGrid w:val="0"/>
        </w:rPr>
        <w:tab/>
      </w:r>
      <w:r>
        <w:rPr>
          <w:snapToGrid w:val="0"/>
        </w:rPr>
        <w:tab/>
        <w:t>An application for an ORD distributor’s authority must be made to the Commissioner in an approved form.</w:t>
      </w:r>
    </w:p>
    <w:p>
      <w:pPr>
        <w:pStyle w:val="Heading5"/>
        <w:rPr>
          <w:snapToGrid w:val="0"/>
        </w:rPr>
      </w:pPr>
      <w:bookmarkStart w:id="46" w:name="_Toc469893015"/>
      <w:bookmarkStart w:id="47" w:name="_Toc527535572"/>
      <w:bookmarkStart w:id="48" w:name="_Toc530207196"/>
      <w:r>
        <w:rPr>
          <w:rStyle w:val="CharSectno"/>
        </w:rPr>
        <w:t>16</w:t>
      </w:r>
      <w:r>
        <w:rPr>
          <w:snapToGrid w:val="0"/>
        </w:rPr>
        <w:t>.</w:t>
      </w:r>
      <w:r>
        <w:rPr>
          <w:snapToGrid w:val="0"/>
        </w:rPr>
        <w:tab/>
        <w:t>Issue of an ORD distributor’s authority</w:t>
      </w:r>
      <w:bookmarkEnd w:id="46"/>
      <w:bookmarkEnd w:id="47"/>
      <w:bookmarkEnd w:id="48"/>
      <w:r>
        <w:rPr>
          <w:snapToGrid w:val="0"/>
        </w:rPr>
        <w:t xml:space="preserve"> </w:t>
      </w:r>
    </w:p>
    <w:p>
      <w:pPr>
        <w:pStyle w:val="Subsection"/>
        <w:rPr>
          <w:snapToGrid w:val="0"/>
        </w:rPr>
      </w:pPr>
      <w:r>
        <w:rPr>
          <w:snapToGrid w:val="0"/>
        </w:rPr>
        <w:tab/>
        <w:t>(1)</w:t>
      </w:r>
      <w:r>
        <w:rPr>
          <w:snapToGrid w:val="0"/>
        </w:rPr>
        <w:tab/>
        <w:t>If an application is made in accordance with section 15, the Commissioner may issue the applicant with an ORD distributor’s authority.</w:t>
      </w:r>
    </w:p>
    <w:p>
      <w:pPr>
        <w:pStyle w:val="Subsection"/>
        <w:rPr>
          <w:snapToGrid w:val="0"/>
        </w:rPr>
      </w:pPr>
      <w:r>
        <w:rPr>
          <w:snapToGrid w:val="0"/>
        </w:rPr>
        <w:tab/>
        <w:t>(2)</w:t>
      </w:r>
      <w:r>
        <w:rPr>
          <w:snapToGrid w:val="0"/>
        </w:rPr>
        <w:tab/>
        <w:t>An ORD distributor’s authority is valid on and from the date it is issued until it is cancelled under section 40 or 41.</w:t>
      </w:r>
    </w:p>
    <w:p>
      <w:pPr>
        <w:pStyle w:val="Heading5"/>
        <w:rPr>
          <w:snapToGrid w:val="0"/>
        </w:rPr>
      </w:pPr>
      <w:bookmarkStart w:id="49" w:name="_Toc469893016"/>
      <w:bookmarkStart w:id="50" w:name="_Toc527535573"/>
      <w:bookmarkStart w:id="51" w:name="_Toc530207197"/>
      <w:r>
        <w:rPr>
          <w:rStyle w:val="CharSectno"/>
        </w:rPr>
        <w:t>17</w:t>
      </w:r>
      <w:r>
        <w:rPr>
          <w:snapToGrid w:val="0"/>
        </w:rPr>
        <w:t>.</w:t>
      </w:r>
      <w:r>
        <w:rPr>
          <w:snapToGrid w:val="0"/>
        </w:rPr>
        <w:tab/>
        <w:t>Conditions of an ORD distributor’s authority</w:t>
      </w:r>
      <w:bookmarkEnd w:id="49"/>
      <w:bookmarkEnd w:id="50"/>
      <w:bookmarkEnd w:id="51"/>
      <w:r>
        <w:rPr>
          <w:snapToGrid w:val="0"/>
        </w:rPr>
        <w:t xml:space="preserve"> </w:t>
      </w:r>
    </w:p>
    <w:p>
      <w:pPr>
        <w:pStyle w:val="Subsection"/>
        <w:rPr>
          <w:snapToGrid w:val="0"/>
        </w:rPr>
      </w:pPr>
      <w:r>
        <w:rPr>
          <w:snapToGrid w:val="0"/>
        </w:rPr>
        <w:tab/>
      </w:r>
      <w:r>
        <w:rPr>
          <w:snapToGrid w:val="0"/>
        </w:rPr>
        <w:tab/>
        <w:t>An ORD distributor’s authority is subject to these conditions:</w:t>
      </w:r>
    </w:p>
    <w:p>
      <w:pPr>
        <w:pStyle w:val="Indenta"/>
        <w:rPr>
          <w:snapToGrid w:val="0"/>
        </w:rPr>
      </w:pPr>
      <w:r>
        <w:rPr>
          <w:snapToGrid w:val="0"/>
        </w:rPr>
        <w:tab/>
        <w:t>(a)</w:t>
      </w:r>
      <w:r>
        <w:rPr>
          <w:snapToGrid w:val="0"/>
        </w:rPr>
        <w:tab/>
        <w:t>the holder must keep the general records that are prescribed;</w:t>
      </w:r>
    </w:p>
    <w:p>
      <w:pPr>
        <w:pStyle w:val="Indenta"/>
        <w:rPr>
          <w:snapToGrid w:val="0"/>
        </w:rPr>
      </w:pPr>
      <w:r>
        <w:rPr>
          <w:snapToGrid w:val="0"/>
        </w:rPr>
        <w:tab/>
        <w:t>(b)</w:t>
      </w:r>
      <w:r>
        <w:rPr>
          <w:snapToGrid w:val="0"/>
        </w:rPr>
        <w:tab/>
        <w:t>the holder must comply with the diesel supply condition set out in section 18;</w:t>
      </w:r>
    </w:p>
    <w:p>
      <w:pPr>
        <w:pStyle w:val="Indenta"/>
        <w:rPr>
          <w:snapToGrid w:val="0"/>
        </w:rPr>
      </w:pPr>
      <w:r>
        <w:rPr>
          <w:snapToGrid w:val="0"/>
        </w:rPr>
        <w:tab/>
        <w:t>(c)</w:t>
      </w:r>
      <w:r>
        <w:rPr>
          <w:snapToGrid w:val="0"/>
        </w:rPr>
        <w:tab/>
        <w:t>the holder must comply with the ORD compensation conditions set out in section 19;</w:t>
      </w:r>
    </w:p>
    <w:p>
      <w:pPr>
        <w:pStyle w:val="Indenta"/>
        <w:rPr>
          <w:snapToGrid w:val="0"/>
        </w:rPr>
      </w:pPr>
      <w:r>
        <w:rPr>
          <w:snapToGrid w:val="0"/>
        </w:rPr>
        <w:tab/>
        <w:t>(d)</w:t>
      </w:r>
      <w:r>
        <w:rPr>
          <w:snapToGrid w:val="0"/>
        </w:rPr>
        <w:tab/>
        <w:t>the holder must comply with the compensation request conditions set out in section 20;</w:t>
      </w:r>
    </w:p>
    <w:p>
      <w:pPr>
        <w:pStyle w:val="Indenta"/>
        <w:rPr>
          <w:snapToGrid w:val="0"/>
        </w:rPr>
      </w:pPr>
      <w:r>
        <w:rPr>
          <w:snapToGrid w:val="0"/>
        </w:rPr>
        <w:tab/>
        <w:t>(e)</w:t>
      </w:r>
      <w:r>
        <w:rPr>
          <w:snapToGrid w:val="0"/>
        </w:rPr>
        <w:tab/>
        <w:t>the holder must comply with the diesel records conditions set out in section 21;</w:t>
      </w:r>
    </w:p>
    <w:p>
      <w:pPr>
        <w:pStyle w:val="Indenta"/>
        <w:rPr>
          <w:snapToGrid w:val="0"/>
        </w:rPr>
      </w:pPr>
      <w:r>
        <w:rPr>
          <w:snapToGrid w:val="0"/>
        </w:rPr>
        <w:tab/>
        <w:t>(f)</w:t>
      </w:r>
      <w:r>
        <w:rPr>
          <w:snapToGrid w:val="0"/>
        </w:rPr>
        <w:tab/>
        <w:t>the holder must comply with any other conditions that the Commissioner imposes under section 37.</w:t>
      </w:r>
    </w:p>
    <w:p>
      <w:pPr>
        <w:pStyle w:val="Heading5"/>
        <w:rPr>
          <w:snapToGrid w:val="0"/>
        </w:rPr>
      </w:pPr>
      <w:bookmarkStart w:id="52" w:name="_Toc469893017"/>
      <w:bookmarkStart w:id="53" w:name="_Toc527535574"/>
      <w:bookmarkStart w:id="54" w:name="_Toc530207198"/>
      <w:r>
        <w:rPr>
          <w:rStyle w:val="CharSectno"/>
        </w:rPr>
        <w:t>18</w:t>
      </w:r>
      <w:r>
        <w:rPr>
          <w:snapToGrid w:val="0"/>
        </w:rPr>
        <w:t>.</w:t>
      </w:r>
      <w:r>
        <w:rPr>
          <w:snapToGrid w:val="0"/>
        </w:rPr>
        <w:tab/>
        <w:t>Diesel supply condition</w:t>
      </w:r>
      <w:bookmarkEnd w:id="52"/>
      <w:bookmarkEnd w:id="53"/>
      <w:bookmarkEnd w:id="54"/>
      <w:r>
        <w:rPr>
          <w:snapToGrid w:val="0"/>
        </w:rPr>
        <w:t xml:space="preserve"> </w:t>
      </w:r>
    </w:p>
    <w:p>
      <w:pPr>
        <w:pStyle w:val="Subsection"/>
        <w:rPr>
          <w:snapToGrid w:val="0"/>
        </w:rPr>
      </w:pPr>
      <w:r>
        <w:rPr>
          <w:snapToGrid w:val="0"/>
        </w:rPr>
        <w:tab/>
        <w:t>(1)</w:t>
      </w:r>
      <w:r>
        <w:rPr>
          <w:snapToGrid w:val="0"/>
        </w:rPr>
        <w:tab/>
        <w:t>This section sets out the diesel supply condition of an ORD distributor’s authority.</w:t>
      </w:r>
    </w:p>
    <w:p>
      <w:pPr>
        <w:pStyle w:val="Subsection"/>
        <w:rPr>
          <w:snapToGrid w:val="0"/>
        </w:rPr>
      </w:pPr>
      <w:r>
        <w:rPr>
          <w:snapToGrid w:val="0"/>
        </w:rPr>
        <w:tab/>
        <w:t>(2)</w:t>
      </w:r>
      <w:r>
        <w:rPr>
          <w:snapToGrid w:val="0"/>
        </w:rPr>
        <w:tab/>
        <w:t>If the holder supplies diesel to a certified user and is satisfied that the diesel will not be used to propel a road vehicle on a public road, the holder must supply the user with diesel at the ORD subsidized price.</w:t>
      </w:r>
    </w:p>
    <w:p>
      <w:pPr>
        <w:pStyle w:val="Heading5"/>
        <w:rPr>
          <w:snapToGrid w:val="0"/>
        </w:rPr>
      </w:pPr>
      <w:bookmarkStart w:id="55" w:name="_Toc469893018"/>
      <w:bookmarkStart w:id="56" w:name="_Toc527535575"/>
      <w:bookmarkStart w:id="57" w:name="_Toc530207199"/>
      <w:r>
        <w:rPr>
          <w:rStyle w:val="CharSectno"/>
        </w:rPr>
        <w:t>19</w:t>
      </w:r>
      <w:r>
        <w:rPr>
          <w:snapToGrid w:val="0"/>
        </w:rPr>
        <w:t>.</w:t>
      </w:r>
      <w:r>
        <w:rPr>
          <w:snapToGrid w:val="0"/>
        </w:rPr>
        <w:tab/>
        <w:t>ORD compensation conditions</w:t>
      </w:r>
      <w:bookmarkEnd w:id="55"/>
      <w:bookmarkEnd w:id="56"/>
      <w:bookmarkEnd w:id="57"/>
      <w:r>
        <w:rPr>
          <w:snapToGrid w:val="0"/>
        </w:rPr>
        <w:t xml:space="preserve"> </w:t>
      </w:r>
    </w:p>
    <w:p>
      <w:pPr>
        <w:pStyle w:val="Subsection"/>
        <w:rPr>
          <w:snapToGrid w:val="0"/>
        </w:rPr>
      </w:pPr>
      <w:r>
        <w:rPr>
          <w:snapToGrid w:val="0"/>
        </w:rPr>
        <w:tab/>
        <w:t>(1)</w:t>
      </w:r>
      <w:r>
        <w:rPr>
          <w:snapToGrid w:val="0"/>
        </w:rPr>
        <w:tab/>
        <w:t>This section sets out the ORD compensation conditions of an ORD distributor’s authority.</w:t>
      </w:r>
    </w:p>
    <w:p>
      <w:pPr>
        <w:pStyle w:val="Subsection"/>
        <w:rPr>
          <w:snapToGrid w:val="0"/>
        </w:rPr>
      </w:pPr>
      <w:r>
        <w:rPr>
          <w:snapToGrid w:val="0"/>
        </w:rPr>
        <w:tab/>
        <w:t>(2)</w:t>
      </w:r>
      <w:r>
        <w:rPr>
          <w:snapToGrid w:val="0"/>
        </w:rPr>
        <w:tab/>
        <w:t>The holder must compensate another authorised distributor in respect of a quantity of diesel that has been supplied at the ORD subsidized price to a certified user (whether by that distributor or a third authorised distributor) if the other distributor — </w:t>
      </w:r>
    </w:p>
    <w:p>
      <w:pPr>
        <w:pStyle w:val="Indenta"/>
        <w:rPr>
          <w:snapToGrid w:val="0"/>
        </w:rPr>
      </w:pPr>
      <w:r>
        <w:rPr>
          <w:snapToGrid w:val="0"/>
        </w:rPr>
        <w:tab/>
        <w:t>(a)</w:t>
      </w:r>
      <w:r>
        <w:rPr>
          <w:snapToGrid w:val="0"/>
        </w:rPr>
        <w:tab/>
        <w:t>makes a request as referred to in section 20(2); and</w:t>
      </w:r>
    </w:p>
    <w:p>
      <w:pPr>
        <w:pStyle w:val="Indenta"/>
        <w:rPr>
          <w:snapToGrid w:val="0"/>
        </w:rPr>
      </w:pPr>
      <w:r>
        <w:rPr>
          <w:snapToGrid w:val="0"/>
        </w:rPr>
        <w:tab/>
        <w:t>(b)</w:t>
      </w:r>
      <w:r>
        <w:rPr>
          <w:snapToGrid w:val="0"/>
        </w:rPr>
        <w:tab/>
        <w:t>provides the holder with the records referred to in section 20(3) of that supply to the certified user.</w:t>
      </w:r>
    </w:p>
    <w:p>
      <w:pPr>
        <w:pStyle w:val="Subsection"/>
        <w:rPr>
          <w:snapToGrid w:val="0"/>
        </w:rPr>
      </w:pPr>
      <w:r>
        <w:rPr>
          <w:snapToGrid w:val="0"/>
        </w:rPr>
        <w:tab/>
        <w:t>(3)</w:t>
      </w:r>
      <w:r>
        <w:rPr>
          <w:snapToGrid w:val="0"/>
        </w:rPr>
        <w:tab/>
        <w:t>The value of the compensation must be that calculated under the regulations.</w:t>
      </w:r>
    </w:p>
    <w:p>
      <w:pPr>
        <w:pStyle w:val="Subsection"/>
        <w:rPr>
          <w:snapToGrid w:val="0"/>
        </w:rPr>
      </w:pPr>
      <w:r>
        <w:rPr>
          <w:snapToGrid w:val="0"/>
        </w:rPr>
        <w:tab/>
        <w:t>(4)</w:t>
      </w:r>
      <w:r>
        <w:rPr>
          <w:snapToGrid w:val="0"/>
        </w:rPr>
        <w:tab/>
        <w:t>The holder must compensate the other distributor within 30 days after the distributor provides the records.</w:t>
      </w:r>
    </w:p>
    <w:p>
      <w:pPr>
        <w:pStyle w:val="Heading5"/>
        <w:rPr>
          <w:snapToGrid w:val="0"/>
        </w:rPr>
      </w:pPr>
      <w:bookmarkStart w:id="58" w:name="_Toc469893019"/>
      <w:bookmarkStart w:id="59" w:name="_Toc527535576"/>
      <w:bookmarkStart w:id="60" w:name="_Toc530207200"/>
      <w:r>
        <w:rPr>
          <w:rStyle w:val="CharSectno"/>
        </w:rPr>
        <w:t>20</w:t>
      </w:r>
      <w:r>
        <w:rPr>
          <w:snapToGrid w:val="0"/>
        </w:rPr>
        <w:t>.</w:t>
      </w:r>
      <w:r>
        <w:rPr>
          <w:snapToGrid w:val="0"/>
        </w:rPr>
        <w:tab/>
        <w:t>Compensation request conditions</w:t>
      </w:r>
      <w:bookmarkEnd w:id="58"/>
      <w:bookmarkEnd w:id="59"/>
      <w:bookmarkEnd w:id="60"/>
      <w:r>
        <w:rPr>
          <w:snapToGrid w:val="0"/>
        </w:rPr>
        <w:t xml:space="preserve"> </w:t>
      </w:r>
    </w:p>
    <w:p>
      <w:pPr>
        <w:pStyle w:val="Subsection"/>
        <w:rPr>
          <w:snapToGrid w:val="0"/>
        </w:rPr>
      </w:pPr>
      <w:r>
        <w:rPr>
          <w:snapToGrid w:val="0"/>
        </w:rPr>
        <w:tab/>
        <w:t>(1)</w:t>
      </w:r>
      <w:r>
        <w:rPr>
          <w:snapToGrid w:val="0"/>
        </w:rPr>
        <w:tab/>
        <w:t>This section sets out the compensation request conditions of an ORD distributor’s authority.</w:t>
      </w:r>
    </w:p>
    <w:p>
      <w:pPr>
        <w:pStyle w:val="Subsection"/>
        <w:rPr>
          <w:snapToGrid w:val="0"/>
        </w:rPr>
      </w:pPr>
      <w:r>
        <w:rPr>
          <w:snapToGrid w:val="0"/>
        </w:rPr>
        <w:tab/>
        <w:t>(2)</w:t>
      </w:r>
      <w:r>
        <w:rPr>
          <w:snapToGrid w:val="0"/>
        </w:rPr>
        <w:tab/>
        <w:t>The holder may request a licensed supplier or another authorised distributor to compensate the holder in respect of a quantity of diesel that has been supplied at the ORD subsidized price to a certified user (whether by the holder or a third authorised distributor), but only if — </w:t>
      </w:r>
    </w:p>
    <w:p>
      <w:pPr>
        <w:pStyle w:val="Indenta"/>
        <w:rPr>
          <w:snapToGrid w:val="0"/>
        </w:rPr>
      </w:pPr>
      <w:r>
        <w:rPr>
          <w:snapToGrid w:val="0"/>
        </w:rPr>
        <w:tab/>
        <w:t>(a)</w:t>
      </w:r>
      <w:r>
        <w:rPr>
          <w:snapToGrid w:val="0"/>
        </w:rPr>
        <w:tab/>
        <w:t>the holder provides the supplier or distributor with the records referred to in subsection (3) of the supply of that quantity; and</w:t>
      </w:r>
    </w:p>
    <w:p>
      <w:pPr>
        <w:pStyle w:val="Indenta"/>
        <w:rPr>
          <w:snapToGrid w:val="0"/>
        </w:rPr>
      </w:pPr>
      <w:r>
        <w:rPr>
          <w:snapToGrid w:val="0"/>
        </w:rPr>
        <w:tab/>
        <w:t>(b)</w:t>
      </w:r>
      <w:r>
        <w:rPr>
          <w:snapToGrid w:val="0"/>
        </w:rPr>
        <w:tab/>
        <w:t>in respect of that quantity, the holder — </w:t>
      </w:r>
    </w:p>
    <w:p>
      <w:pPr>
        <w:pStyle w:val="Indenti"/>
        <w:rPr>
          <w:snapToGrid w:val="0"/>
        </w:rPr>
      </w:pPr>
      <w:r>
        <w:rPr>
          <w:snapToGrid w:val="0"/>
        </w:rPr>
        <w:tab/>
        <w:t>(i)</w:t>
      </w:r>
      <w:r>
        <w:rPr>
          <w:snapToGrid w:val="0"/>
        </w:rPr>
        <w:tab/>
        <w:t>has not requested compensation from a licensed supplier or another authorised distributor; and</w:t>
      </w:r>
    </w:p>
    <w:p>
      <w:pPr>
        <w:pStyle w:val="Indenti"/>
        <w:rPr>
          <w:snapToGrid w:val="0"/>
        </w:rPr>
      </w:pPr>
      <w:r>
        <w:rPr>
          <w:snapToGrid w:val="0"/>
        </w:rPr>
        <w:tab/>
        <w:t>(ii)</w:t>
      </w:r>
      <w:r>
        <w:rPr>
          <w:snapToGrid w:val="0"/>
        </w:rPr>
        <w:tab/>
        <w:t>has not been compensated by a licensed supplier or another authorised distributor.</w:t>
      </w:r>
    </w:p>
    <w:p>
      <w:pPr>
        <w:pStyle w:val="Subsection"/>
        <w:rPr>
          <w:snapToGrid w:val="0"/>
        </w:rPr>
      </w:pPr>
      <w:r>
        <w:rPr>
          <w:snapToGrid w:val="0"/>
        </w:rPr>
        <w:tab/>
        <w:t>(3)</w:t>
      </w:r>
      <w:r>
        <w:rPr>
          <w:snapToGrid w:val="0"/>
        </w:rPr>
        <w:tab/>
        <w:t>The records to be provided must include the following information in respect of the certified user to whom diesel has been supplied at the ORD subsidized price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number of that person’s user’s certificate;</w:t>
      </w:r>
    </w:p>
    <w:p>
      <w:pPr>
        <w:pStyle w:val="Indenta"/>
        <w:rPr>
          <w:snapToGrid w:val="0"/>
        </w:rPr>
      </w:pPr>
      <w:r>
        <w:rPr>
          <w:snapToGrid w:val="0"/>
        </w:rPr>
        <w:tab/>
        <w:t>(c)</w:t>
      </w:r>
      <w:r>
        <w:rPr>
          <w:snapToGrid w:val="0"/>
        </w:rPr>
        <w:tab/>
        <w:t>the quantity of diesel supplied;</w:t>
      </w:r>
    </w:p>
    <w:p>
      <w:pPr>
        <w:pStyle w:val="Indenta"/>
        <w:rPr>
          <w:snapToGrid w:val="0"/>
        </w:rPr>
      </w:pPr>
      <w:r>
        <w:rPr>
          <w:snapToGrid w:val="0"/>
        </w:rPr>
        <w:tab/>
        <w:t>(d)</w:t>
      </w:r>
      <w:r>
        <w:rPr>
          <w:snapToGrid w:val="0"/>
        </w:rPr>
        <w:tab/>
        <w:t>the name and address of the distributor who supplied the diesel and the number of that person’s ORD distributor’s authority; and</w:t>
      </w:r>
    </w:p>
    <w:p>
      <w:pPr>
        <w:pStyle w:val="Indenta"/>
        <w:rPr>
          <w:snapToGrid w:val="0"/>
        </w:rPr>
      </w:pPr>
      <w:r>
        <w:rPr>
          <w:snapToGrid w:val="0"/>
        </w:rPr>
        <w:tab/>
        <w:t>(e)</w:t>
      </w:r>
      <w:r>
        <w:rPr>
          <w:snapToGrid w:val="0"/>
        </w:rPr>
        <w:tab/>
        <w:t>any prescribed information.</w:t>
      </w:r>
    </w:p>
    <w:p>
      <w:pPr>
        <w:pStyle w:val="Subsection"/>
        <w:rPr>
          <w:snapToGrid w:val="0"/>
        </w:rPr>
      </w:pPr>
      <w:r>
        <w:rPr>
          <w:snapToGrid w:val="0"/>
        </w:rPr>
        <w:tab/>
        <w:t>(4)</w:t>
      </w:r>
      <w:r>
        <w:rPr>
          <w:snapToGrid w:val="0"/>
        </w:rPr>
        <w:tab/>
        <w:t>The holder must produce the original of the authority — </w:t>
      </w:r>
    </w:p>
    <w:p>
      <w:pPr>
        <w:pStyle w:val="Indenta"/>
        <w:rPr>
          <w:snapToGrid w:val="0"/>
        </w:rPr>
      </w:pPr>
      <w:r>
        <w:rPr>
          <w:snapToGrid w:val="0"/>
        </w:rPr>
        <w:tab/>
        <w:t>(a)</w:t>
      </w:r>
      <w:r>
        <w:rPr>
          <w:snapToGrid w:val="0"/>
        </w:rPr>
        <w:tab/>
        <w:t>to every licensed supplier to whom the holder makes a request under subsection (2); and</w:t>
      </w:r>
    </w:p>
    <w:p>
      <w:pPr>
        <w:pStyle w:val="Indenta"/>
        <w:rPr>
          <w:snapToGrid w:val="0"/>
        </w:rPr>
      </w:pPr>
      <w:r>
        <w:rPr>
          <w:snapToGrid w:val="0"/>
        </w:rPr>
        <w:tab/>
        <w:t>(b)</w:t>
      </w:r>
      <w:r>
        <w:rPr>
          <w:snapToGrid w:val="0"/>
        </w:rPr>
        <w:tab/>
        <w:t>to every other authorised distributor to whom the holder makes a request under subsection (2),</w:t>
      </w:r>
    </w:p>
    <w:p>
      <w:pPr>
        <w:pStyle w:val="Subsection"/>
        <w:rPr>
          <w:snapToGrid w:val="0"/>
        </w:rPr>
      </w:pPr>
      <w:r>
        <w:rPr>
          <w:snapToGrid w:val="0"/>
        </w:rPr>
        <w:tab/>
      </w:r>
      <w:r>
        <w:rPr>
          <w:snapToGrid w:val="0"/>
        </w:rPr>
        <w:tab/>
        <w:t>on the first occasion of making such a request after being issued with the ORD distributor’s authority so that the supplier or distributor can inspect it and make a record of it.</w:t>
      </w:r>
    </w:p>
    <w:p>
      <w:pPr>
        <w:pStyle w:val="Subsection"/>
        <w:rPr>
          <w:snapToGrid w:val="0"/>
        </w:rPr>
      </w:pPr>
      <w:r>
        <w:rPr>
          <w:snapToGrid w:val="0"/>
        </w:rPr>
        <w:tab/>
        <w:t>(5)</w:t>
      </w:r>
      <w:r>
        <w:rPr>
          <w:snapToGrid w:val="0"/>
        </w:rPr>
        <w:tab/>
        <w:t>If a licensed supplier or an authorised distributor from whom the holder has requested compensation so requests, the holder must produce the original of the authority so that the supplier or distributor can inspect it and make a record of it.</w:t>
      </w:r>
    </w:p>
    <w:p>
      <w:pPr>
        <w:pStyle w:val="Footnotesection"/>
      </w:pPr>
      <w:r>
        <w:tab/>
        <w:t>[Section 20 amended by No. 58 of 1998 s. 4.]</w:t>
      </w:r>
    </w:p>
    <w:p>
      <w:pPr>
        <w:pStyle w:val="Heading5"/>
        <w:rPr>
          <w:snapToGrid w:val="0"/>
        </w:rPr>
      </w:pPr>
      <w:bookmarkStart w:id="61" w:name="_Toc469893020"/>
      <w:bookmarkStart w:id="62" w:name="_Toc527535577"/>
      <w:bookmarkStart w:id="63" w:name="_Toc530207201"/>
      <w:r>
        <w:rPr>
          <w:rStyle w:val="CharSectno"/>
        </w:rPr>
        <w:t>21</w:t>
      </w:r>
      <w:r>
        <w:rPr>
          <w:snapToGrid w:val="0"/>
        </w:rPr>
        <w:t>.</w:t>
      </w:r>
      <w:r>
        <w:rPr>
          <w:snapToGrid w:val="0"/>
        </w:rPr>
        <w:tab/>
        <w:t>Diesel record conditions</w:t>
      </w:r>
      <w:bookmarkEnd w:id="61"/>
      <w:bookmarkEnd w:id="62"/>
      <w:bookmarkEnd w:id="63"/>
      <w:r>
        <w:rPr>
          <w:snapToGrid w:val="0"/>
        </w:rPr>
        <w:t xml:space="preserve"> </w:t>
      </w:r>
    </w:p>
    <w:p>
      <w:pPr>
        <w:pStyle w:val="Subsection"/>
        <w:rPr>
          <w:snapToGrid w:val="0"/>
        </w:rPr>
      </w:pPr>
      <w:r>
        <w:rPr>
          <w:snapToGrid w:val="0"/>
        </w:rPr>
        <w:tab/>
        <w:t>(1)</w:t>
      </w:r>
      <w:r>
        <w:rPr>
          <w:snapToGrid w:val="0"/>
        </w:rPr>
        <w:tab/>
        <w:t>This section sets out the diesel record conditions of an ORD distributor’s authority.</w:t>
      </w:r>
    </w:p>
    <w:p>
      <w:pPr>
        <w:pStyle w:val="Subsection"/>
        <w:rPr>
          <w:snapToGrid w:val="0"/>
        </w:rPr>
      </w:pPr>
      <w:r>
        <w:rPr>
          <w:snapToGrid w:val="0"/>
        </w:rPr>
        <w:tab/>
        <w:t>(2)</w:t>
      </w:r>
      <w:r>
        <w:rPr>
          <w:snapToGrid w:val="0"/>
        </w:rPr>
        <w:tab/>
        <w:t>The holder must keep prescribed records — </w:t>
      </w:r>
    </w:p>
    <w:p>
      <w:pPr>
        <w:pStyle w:val="Indenta"/>
        <w:rPr>
          <w:snapToGrid w:val="0"/>
        </w:rPr>
      </w:pPr>
      <w:r>
        <w:rPr>
          <w:snapToGrid w:val="0"/>
        </w:rPr>
        <w:tab/>
        <w:t>(a)</w:t>
      </w:r>
      <w:r>
        <w:rPr>
          <w:snapToGrid w:val="0"/>
        </w:rPr>
        <w:tab/>
        <w:t>of every supply of diesel by the holder at the ORD subsidized price to a certified user; and</w:t>
      </w:r>
    </w:p>
    <w:p>
      <w:pPr>
        <w:pStyle w:val="Indenta"/>
        <w:rPr>
          <w:snapToGrid w:val="0"/>
        </w:rPr>
      </w:pPr>
      <w:r>
        <w:rPr>
          <w:snapToGrid w:val="0"/>
        </w:rPr>
        <w:tab/>
        <w:t>(b)</w:t>
      </w:r>
      <w:r>
        <w:rPr>
          <w:snapToGrid w:val="0"/>
        </w:rPr>
        <w:tab/>
        <w:t>of any compensation made by the holder to another authorised distributor in respect of diesel supplied at the ORD subsidized price to a certified user (whether by that distributor or a third authorised distributor).</w:t>
      </w:r>
    </w:p>
    <w:p>
      <w:pPr>
        <w:pStyle w:val="Subsection"/>
        <w:rPr>
          <w:snapToGrid w:val="0"/>
        </w:rPr>
      </w:pPr>
      <w:r>
        <w:rPr>
          <w:snapToGrid w:val="0"/>
        </w:rPr>
        <w:tab/>
        <w:t>(3)</w:t>
      </w:r>
      <w:r>
        <w:rPr>
          <w:snapToGrid w:val="0"/>
        </w:rPr>
        <w:tab/>
        <w:t>The holder must keep those records for 5 years after the date of any request made under section 20(2).</w:t>
      </w:r>
    </w:p>
    <w:p>
      <w:pPr>
        <w:pStyle w:val="Subsection"/>
        <w:rPr>
          <w:snapToGrid w:val="0"/>
        </w:rPr>
      </w:pPr>
      <w:r>
        <w:rPr>
          <w:snapToGrid w:val="0"/>
        </w:rPr>
        <w:tab/>
        <w:t>(4)</w:t>
      </w:r>
      <w:r>
        <w:rPr>
          <w:snapToGrid w:val="0"/>
        </w:rPr>
        <w:tab/>
        <w:t>Subsection (3) applies even though a person ceases to be an authorised distributor.</w:t>
      </w:r>
    </w:p>
    <w:p>
      <w:pPr>
        <w:pStyle w:val="Heading5"/>
        <w:rPr>
          <w:snapToGrid w:val="0"/>
        </w:rPr>
      </w:pPr>
      <w:bookmarkStart w:id="64" w:name="_Toc469893021"/>
      <w:bookmarkStart w:id="65" w:name="_Toc527535578"/>
      <w:bookmarkStart w:id="66" w:name="_Toc530207202"/>
      <w:r>
        <w:rPr>
          <w:rStyle w:val="CharSectno"/>
        </w:rPr>
        <w:t>22</w:t>
      </w:r>
      <w:r>
        <w:rPr>
          <w:snapToGrid w:val="0"/>
        </w:rPr>
        <w:t>.</w:t>
      </w:r>
      <w:r>
        <w:rPr>
          <w:snapToGrid w:val="0"/>
        </w:rPr>
        <w:tab/>
        <w:t>Form of compensation</w:t>
      </w:r>
      <w:bookmarkEnd w:id="64"/>
      <w:bookmarkEnd w:id="65"/>
      <w:bookmarkEnd w:id="66"/>
      <w:r>
        <w:rPr>
          <w:snapToGrid w:val="0"/>
        </w:rPr>
        <w:t xml:space="preserve"> </w:t>
      </w:r>
    </w:p>
    <w:p>
      <w:pPr>
        <w:pStyle w:val="Subsection"/>
        <w:rPr>
          <w:snapToGrid w:val="0"/>
        </w:rPr>
      </w:pPr>
      <w:r>
        <w:rPr>
          <w:snapToGrid w:val="0"/>
        </w:rPr>
        <w:tab/>
      </w:r>
      <w:r>
        <w:rPr>
          <w:snapToGrid w:val="0"/>
        </w:rPr>
        <w:tab/>
        <w:t>Compensation to be made by an authorised distributor to another authorised distributor is to be in a form agreed by them.</w:t>
      </w:r>
    </w:p>
    <w:p>
      <w:pPr>
        <w:pStyle w:val="Heading5"/>
        <w:rPr>
          <w:snapToGrid w:val="0"/>
        </w:rPr>
      </w:pPr>
      <w:bookmarkStart w:id="67" w:name="_Toc469893022"/>
      <w:bookmarkStart w:id="68" w:name="_Toc527535579"/>
      <w:bookmarkStart w:id="69" w:name="_Toc530207203"/>
      <w:r>
        <w:rPr>
          <w:rStyle w:val="CharSectno"/>
        </w:rPr>
        <w:t>23</w:t>
      </w:r>
      <w:r>
        <w:rPr>
          <w:snapToGrid w:val="0"/>
        </w:rPr>
        <w:t>.</w:t>
      </w:r>
      <w:r>
        <w:rPr>
          <w:snapToGrid w:val="0"/>
        </w:rPr>
        <w:tab/>
        <w:t>Correcting incorrect requests for compensation</w:t>
      </w:r>
      <w:bookmarkEnd w:id="67"/>
      <w:bookmarkEnd w:id="68"/>
      <w:bookmarkEnd w:id="69"/>
      <w:r>
        <w:rPr>
          <w:snapToGrid w:val="0"/>
        </w:rPr>
        <w:t xml:space="preserve"> </w:t>
      </w:r>
    </w:p>
    <w:p>
      <w:pPr>
        <w:pStyle w:val="Subsection"/>
        <w:rPr>
          <w:snapToGrid w:val="0"/>
        </w:rPr>
      </w:pPr>
      <w:r>
        <w:rPr>
          <w:snapToGrid w:val="0"/>
        </w:rPr>
        <w:tab/>
        <w:t>(1)</w:t>
      </w:r>
      <w:r>
        <w:rPr>
          <w:snapToGrid w:val="0"/>
        </w:rPr>
        <w:tab/>
        <w:t>In this section and section 24 an authorised distributor makes an incorrect request if the distributor purports to make a request under section 20(2), but in doing so the distributor — </w:t>
      </w:r>
    </w:p>
    <w:p>
      <w:pPr>
        <w:pStyle w:val="Indenta"/>
        <w:rPr>
          <w:snapToGrid w:val="0"/>
        </w:rPr>
      </w:pPr>
      <w:r>
        <w:rPr>
          <w:snapToGrid w:val="0"/>
        </w:rPr>
        <w:tab/>
        <w:t>(a)</w:t>
      </w:r>
      <w:r>
        <w:rPr>
          <w:snapToGrid w:val="0"/>
        </w:rPr>
        <w:tab/>
        <w:t>does not comply with section 20(2); or</w:t>
      </w:r>
    </w:p>
    <w:p>
      <w:pPr>
        <w:pStyle w:val="Indenta"/>
        <w:rPr>
          <w:snapToGrid w:val="0"/>
        </w:rPr>
      </w:pPr>
      <w:r>
        <w:rPr>
          <w:snapToGrid w:val="0"/>
        </w:rPr>
        <w:tab/>
        <w:t>(b)</w:t>
      </w:r>
      <w:r>
        <w:rPr>
          <w:snapToGrid w:val="0"/>
        </w:rPr>
        <w:tab/>
        <w:t>provides records that are false or misleading or that do not record the supply of diesel at the ORD subsidized price to the certified user referred to in section 20(2).</w:t>
      </w:r>
    </w:p>
    <w:p>
      <w:pPr>
        <w:pStyle w:val="Subsection"/>
      </w:pPr>
      <w:r>
        <w:tab/>
        <w:t>(1a)</w:t>
      </w:r>
      <w:r>
        <w:tab/>
        <w:t>This section and section 24 apply even though a person ceases to be an authorised distributor after purporting to make a request under section 20(2).</w:t>
      </w:r>
    </w:p>
    <w:p>
      <w:pPr>
        <w:pStyle w:val="Subsection"/>
        <w:rPr>
          <w:snapToGrid w:val="0"/>
        </w:rPr>
      </w:pPr>
      <w:r>
        <w:rPr>
          <w:snapToGrid w:val="0"/>
        </w:rPr>
        <w:tab/>
        <w:t>(2)</w:t>
      </w:r>
      <w:r>
        <w:rPr>
          <w:snapToGrid w:val="0"/>
        </w:rPr>
        <w:tab/>
        <w:t>If an authorised distributor makes an incorrect request, then the distributor must within 21 days after making the request — </w:t>
      </w:r>
    </w:p>
    <w:p>
      <w:pPr>
        <w:pStyle w:val="Indenta"/>
        <w:rPr>
          <w:snapToGrid w:val="0"/>
        </w:rPr>
      </w:pPr>
      <w:r>
        <w:rPr>
          <w:snapToGrid w:val="0"/>
        </w:rPr>
        <w:tab/>
        <w:t>(a)</w:t>
      </w:r>
      <w:r>
        <w:rPr>
          <w:snapToGrid w:val="0"/>
        </w:rPr>
        <w:tab/>
        <w:t>notify the Commissioner accordingly; and</w:t>
      </w:r>
    </w:p>
    <w:p>
      <w:pPr>
        <w:pStyle w:val="Indenta"/>
        <w:rPr>
          <w:snapToGrid w:val="0"/>
        </w:rPr>
      </w:pPr>
      <w:r>
        <w:rPr>
          <w:snapToGrid w:val="0"/>
        </w:rPr>
        <w:tab/>
        <w:t>(b)</w:t>
      </w:r>
      <w:r>
        <w:rPr>
          <w:snapToGrid w:val="0"/>
        </w:rPr>
        <w:tab/>
        <w:t>pay the Commissioner an amount equal to the value of the unjustified benefit that the distributor has received or will receive.</w:t>
      </w:r>
    </w:p>
    <w:p>
      <w:pPr>
        <w:pStyle w:val="Subsection"/>
        <w:rPr>
          <w:snapToGrid w:val="0"/>
        </w:rPr>
      </w:pPr>
      <w:r>
        <w:rPr>
          <w:snapToGrid w:val="0"/>
        </w:rPr>
        <w:tab/>
        <w:t>(3)</w:t>
      </w:r>
      <w:r>
        <w:rPr>
          <w:snapToGrid w:val="0"/>
        </w:rPr>
        <w:tab/>
        <w:t>The value of the unjustified benefit is — </w:t>
      </w:r>
    </w:p>
    <w:p>
      <w:pPr>
        <w:pStyle w:val="Indenta"/>
        <w:rPr>
          <w:snapToGrid w:val="0"/>
        </w:rPr>
      </w:pPr>
      <w:r>
        <w:rPr>
          <w:snapToGrid w:val="0"/>
        </w:rPr>
        <w:tab/>
        <w:t>(a)</w:t>
      </w:r>
      <w:r>
        <w:rPr>
          <w:snapToGrid w:val="0"/>
        </w:rPr>
        <w:tab/>
        <w:t>the value of the compensation that the distributor has received or will receive by reason of the incorrect request; less</w:t>
      </w:r>
    </w:p>
    <w:p>
      <w:pPr>
        <w:pStyle w:val="Indenta"/>
        <w:rPr>
          <w:snapToGrid w:val="0"/>
        </w:rPr>
      </w:pPr>
      <w:r>
        <w:rPr>
          <w:snapToGrid w:val="0"/>
        </w:rPr>
        <w:tab/>
        <w:t>(b)</w:t>
      </w:r>
      <w:r>
        <w:rPr>
          <w:snapToGrid w:val="0"/>
        </w:rPr>
        <w:tab/>
        <w:t>the value of the compensation (if any) to which the distributor is entitled under this Act.</w:t>
      </w:r>
    </w:p>
    <w:p>
      <w:pPr>
        <w:pStyle w:val="Footnotesection"/>
      </w:pPr>
      <w:r>
        <w:tab/>
        <w:t>[Section 23 amended by No. 53 of 1999 s. 10.]</w:t>
      </w:r>
    </w:p>
    <w:p>
      <w:pPr>
        <w:pStyle w:val="Heading5"/>
        <w:rPr>
          <w:snapToGrid w:val="0"/>
        </w:rPr>
      </w:pPr>
      <w:bookmarkStart w:id="70" w:name="_Toc469893023"/>
      <w:bookmarkStart w:id="71" w:name="_Toc527535580"/>
      <w:bookmarkStart w:id="72" w:name="_Toc530207204"/>
      <w:r>
        <w:rPr>
          <w:rStyle w:val="CharSectno"/>
        </w:rPr>
        <w:t>24</w:t>
      </w:r>
      <w:r>
        <w:rPr>
          <w:snapToGrid w:val="0"/>
        </w:rPr>
        <w:t>.</w:t>
      </w:r>
      <w:r>
        <w:rPr>
          <w:snapToGrid w:val="0"/>
        </w:rPr>
        <w:tab/>
        <w:t>Failure to correct incorrect requests</w:t>
      </w:r>
      <w:bookmarkEnd w:id="70"/>
      <w:bookmarkEnd w:id="71"/>
      <w:bookmarkEnd w:id="72"/>
      <w:r>
        <w:rPr>
          <w:snapToGrid w:val="0"/>
        </w:rPr>
        <w:t xml:space="preserve"> </w:t>
      </w:r>
    </w:p>
    <w:p>
      <w:pPr>
        <w:pStyle w:val="Subsection"/>
        <w:rPr>
          <w:snapToGrid w:val="0"/>
        </w:rPr>
      </w:pPr>
      <w:r>
        <w:rPr>
          <w:snapToGrid w:val="0"/>
        </w:rPr>
        <w:tab/>
        <w:t>(1)</w:t>
      </w:r>
      <w:r>
        <w:rPr>
          <w:snapToGrid w:val="0"/>
        </w:rPr>
        <w:tab/>
        <w:t>If an authorised distributor makes an incorrect request and does not comply with section 23(2), the Commissioner may give the distributor a notice that sets out — </w:t>
      </w:r>
    </w:p>
    <w:p>
      <w:pPr>
        <w:pStyle w:val="Indenta"/>
        <w:rPr>
          <w:snapToGrid w:val="0"/>
        </w:rPr>
      </w:pPr>
      <w:r>
        <w:rPr>
          <w:snapToGrid w:val="0"/>
        </w:rPr>
        <w:tab/>
        <w:t>(a)</w:t>
      </w:r>
      <w:r>
        <w:rPr>
          <w:snapToGrid w:val="0"/>
        </w:rPr>
        <w:tab/>
        <w:t>details of the incorrect request; and</w:t>
      </w:r>
    </w:p>
    <w:p>
      <w:pPr>
        <w:pStyle w:val="Indenta"/>
        <w:rPr>
          <w:snapToGrid w:val="0"/>
        </w:rPr>
      </w:pPr>
      <w:r>
        <w:rPr>
          <w:snapToGrid w:val="0"/>
        </w:rPr>
        <w:tab/>
        <w:t>(b)</w:t>
      </w:r>
      <w:r>
        <w:rPr>
          <w:snapToGrid w:val="0"/>
        </w:rPr>
        <w:tab/>
        <w:t>the penalty to be paid by the distributor.</w:t>
      </w:r>
    </w:p>
    <w:p>
      <w:pPr>
        <w:pStyle w:val="Subsection"/>
        <w:rPr>
          <w:snapToGrid w:val="0"/>
        </w:rPr>
      </w:pPr>
      <w:r>
        <w:rPr>
          <w:snapToGrid w:val="0"/>
        </w:rPr>
        <w:tab/>
        <w:t>(2)</w:t>
      </w:r>
      <w:r>
        <w:rPr>
          <w:snapToGrid w:val="0"/>
        </w:rPr>
        <w:tab/>
        <w:t>The penalty is to be double — </w:t>
      </w:r>
    </w:p>
    <w:p>
      <w:pPr>
        <w:pStyle w:val="Indenta"/>
        <w:rPr>
          <w:snapToGrid w:val="0"/>
        </w:rPr>
      </w:pPr>
      <w:r>
        <w:rPr>
          <w:snapToGrid w:val="0"/>
        </w:rPr>
        <w:tab/>
        <w:t>(a)</w:t>
      </w:r>
      <w:r>
        <w:rPr>
          <w:snapToGrid w:val="0"/>
        </w:rPr>
        <w:tab/>
        <w:t>the amount that the distributor ought to have paid under section 23(2); or</w:t>
      </w:r>
    </w:p>
    <w:p>
      <w:pPr>
        <w:pStyle w:val="Indenta"/>
        <w:rPr>
          <w:snapToGrid w:val="0"/>
        </w:rPr>
      </w:pPr>
      <w:r>
        <w:rPr>
          <w:snapToGrid w:val="0"/>
        </w:rPr>
        <w:tab/>
        <w:t>(b)</w:t>
      </w:r>
      <w:r>
        <w:rPr>
          <w:snapToGrid w:val="0"/>
        </w:rPr>
        <w:tab/>
        <w:t>if the Commissioner is not able to determine that amount because of insufficient, false or misleading records or information — an amount determined by the Commissioner.</w:t>
      </w:r>
    </w:p>
    <w:p>
      <w:pPr>
        <w:pStyle w:val="Subsection"/>
        <w:rPr>
          <w:snapToGrid w:val="0"/>
        </w:rPr>
      </w:pPr>
      <w:r>
        <w:rPr>
          <w:snapToGrid w:val="0"/>
        </w:rPr>
        <w:tab/>
        <w:t>(3)</w:t>
      </w:r>
      <w:r>
        <w:rPr>
          <w:snapToGrid w:val="0"/>
        </w:rPr>
        <w:tab/>
        <w:t>If the distributor does not pay the penalty on or before the date for payment specified in the notice, the distributor commits an offence and the Commissioner may suspend the operation of the distributor’s ORD distributor’s authority until the penalty is paid.</w:t>
      </w:r>
    </w:p>
    <w:p>
      <w:pPr>
        <w:pStyle w:val="Subsection"/>
        <w:rPr>
          <w:snapToGrid w:val="0"/>
        </w:rPr>
      </w:pPr>
      <w:r>
        <w:rPr>
          <w:snapToGrid w:val="0"/>
        </w:rPr>
        <w:tab/>
        <w:t>(4)</w:t>
      </w:r>
      <w:r>
        <w:rPr>
          <w:snapToGrid w:val="0"/>
        </w:rPr>
        <w:tab/>
        <w:t>The date for payment must be at least 14 days after the date on which the notice is given to the distributor.</w:t>
      </w:r>
    </w:p>
    <w:p>
      <w:pPr>
        <w:pStyle w:val="Subsection"/>
        <w:rPr>
          <w:snapToGrid w:val="0"/>
        </w:rPr>
      </w:pPr>
      <w:r>
        <w:rPr>
          <w:snapToGrid w:val="0"/>
        </w:rPr>
        <w:tab/>
        <w:t>(5)</w:t>
      </w:r>
      <w:r>
        <w:rPr>
          <w:snapToGrid w:val="0"/>
        </w:rPr>
        <w:tab/>
        <w:t>The Commissioner may remit not more than half of the penalty.</w:t>
      </w:r>
    </w:p>
    <w:p>
      <w:pPr>
        <w:pStyle w:val="Heading5"/>
        <w:rPr>
          <w:snapToGrid w:val="0"/>
        </w:rPr>
      </w:pPr>
      <w:bookmarkStart w:id="73" w:name="_Toc469893024"/>
      <w:bookmarkStart w:id="74" w:name="_Toc527535581"/>
      <w:bookmarkStart w:id="75" w:name="_Toc530207205"/>
      <w:r>
        <w:rPr>
          <w:rStyle w:val="CharSectno"/>
        </w:rPr>
        <w:t>25</w:t>
      </w:r>
      <w:r>
        <w:rPr>
          <w:snapToGrid w:val="0"/>
        </w:rPr>
        <w:t>.</w:t>
      </w:r>
      <w:r>
        <w:rPr>
          <w:snapToGrid w:val="0"/>
        </w:rPr>
        <w:tab/>
        <w:t>Compensation may be recovered</w:t>
      </w:r>
      <w:bookmarkEnd w:id="73"/>
      <w:bookmarkEnd w:id="74"/>
      <w:bookmarkEnd w:id="75"/>
      <w:r>
        <w:rPr>
          <w:snapToGrid w:val="0"/>
        </w:rPr>
        <w:t xml:space="preserve"> </w:t>
      </w:r>
    </w:p>
    <w:p>
      <w:pPr>
        <w:pStyle w:val="Subsection"/>
        <w:rPr>
          <w:snapToGrid w:val="0"/>
        </w:rPr>
      </w:pPr>
      <w:r>
        <w:rPr>
          <w:snapToGrid w:val="0"/>
        </w:rPr>
        <w:tab/>
      </w:r>
      <w:r>
        <w:rPr>
          <w:snapToGrid w:val="0"/>
        </w:rPr>
        <w:tab/>
        <w:t>A person who is or was an authorised distributor may recover compensation that is not paid under section 11(2) or 19(2) from the person who is liable to pay it in a court of competent jurisdiction.</w:t>
      </w:r>
    </w:p>
    <w:p>
      <w:pPr>
        <w:pStyle w:val="Heading2"/>
      </w:pPr>
      <w:r>
        <w:rPr>
          <w:rStyle w:val="CharPartNo"/>
        </w:rPr>
        <w:t>Part 4</w:t>
      </w:r>
      <w:r>
        <w:rPr>
          <w:rStyle w:val="CharDivNo"/>
        </w:rPr>
        <w:t> </w:t>
      </w:r>
      <w:r>
        <w:t>—</w:t>
      </w:r>
      <w:r>
        <w:rPr>
          <w:rStyle w:val="CharDivText"/>
        </w:rPr>
        <w:t> </w:t>
      </w:r>
      <w:r>
        <w:rPr>
          <w:rStyle w:val="CharPartText"/>
        </w:rPr>
        <w:t>Users of off</w:t>
      </w:r>
      <w:r>
        <w:rPr>
          <w:rStyle w:val="CharPartText"/>
        </w:rPr>
        <w:noBreakHyphen/>
        <w:t xml:space="preserve">road diesel </w:t>
      </w:r>
    </w:p>
    <w:p>
      <w:pPr>
        <w:pStyle w:val="Heading5"/>
        <w:spacing w:before="200"/>
        <w:rPr>
          <w:snapToGrid w:val="0"/>
        </w:rPr>
      </w:pPr>
      <w:bookmarkStart w:id="76" w:name="_Toc469893025"/>
      <w:bookmarkStart w:id="77" w:name="_Toc527535582"/>
      <w:bookmarkStart w:id="78" w:name="_Toc530207206"/>
      <w:r>
        <w:rPr>
          <w:rStyle w:val="CharSectno"/>
        </w:rPr>
        <w:t>26</w:t>
      </w:r>
      <w:r>
        <w:rPr>
          <w:snapToGrid w:val="0"/>
        </w:rPr>
        <w:t>.</w:t>
      </w:r>
      <w:r>
        <w:rPr>
          <w:snapToGrid w:val="0"/>
        </w:rPr>
        <w:tab/>
        <w:t>Who may apply for an ORD user’s certificate</w:t>
      </w:r>
      <w:bookmarkEnd w:id="76"/>
      <w:bookmarkEnd w:id="77"/>
      <w:bookmarkEnd w:id="78"/>
      <w:r>
        <w:rPr>
          <w:snapToGrid w:val="0"/>
        </w:rPr>
        <w:t xml:space="preserve"> </w:t>
      </w:r>
    </w:p>
    <w:p>
      <w:pPr>
        <w:pStyle w:val="Subsection"/>
        <w:spacing w:before="140"/>
        <w:rPr>
          <w:snapToGrid w:val="0"/>
        </w:rPr>
      </w:pPr>
      <w:r>
        <w:rPr>
          <w:snapToGrid w:val="0"/>
        </w:rPr>
        <w:tab/>
        <w:t>(1)</w:t>
      </w:r>
      <w:r>
        <w:rPr>
          <w:snapToGrid w:val="0"/>
        </w:rPr>
        <w:tab/>
        <w:t>If a person uses diesel in WA for purposes other than for propelling a road vehicle on a public road and wants to obtain a supply of that diesel at the ORD subsidized price, the person may apply for an ORD user’s certificate.</w:t>
      </w:r>
    </w:p>
    <w:p>
      <w:pPr>
        <w:pStyle w:val="Subsection"/>
        <w:spacing w:before="140"/>
        <w:rPr>
          <w:snapToGrid w:val="0"/>
        </w:rPr>
      </w:pPr>
      <w:r>
        <w:rPr>
          <w:snapToGrid w:val="0"/>
        </w:rPr>
        <w:tab/>
        <w:t>(2)</w:t>
      </w:r>
      <w:r>
        <w:rPr>
          <w:snapToGrid w:val="0"/>
        </w:rPr>
        <w:tab/>
        <w:t>Such a person may apply for 2 or more ORD user’s certificates.</w:t>
      </w:r>
    </w:p>
    <w:p>
      <w:pPr>
        <w:pStyle w:val="Subsection"/>
        <w:spacing w:before="140"/>
        <w:rPr>
          <w:snapToGrid w:val="0"/>
        </w:rPr>
      </w:pPr>
      <w:r>
        <w:rPr>
          <w:snapToGrid w:val="0"/>
        </w:rPr>
        <w:tab/>
        <w:t>(3)</w:t>
      </w:r>
      <w:r>
        <w:rPr>
          <w:snapToGrid w:val="0"/>
        </w:rPr>
        <w:tab/>
        <w:t>Subject to subsection (1) — </w:t>
      </w:r>
    </w:p>
    <w:p>
      <w:pPr>
        <w:pStyle w:val="Indenta"/>
        <w:spacing w:before="60"/>
        <w:rPr>
          <w:snapToGrid w:val="0"/>
        </w:rPr>
      </w:pPr>
      <w:r>
        <w:rPr>
          <w:snapToGrid w:val="0"/>
        </w:rPr>
        <w:tab/>
        <w:t>(a)</w:t>
      </w:r>
      <w:r>
        <w:rPr>
          <w:snapToGrid w:val="0"/>
        </w:rPr>
        <w:tab/>
        <w:t>a licensed supplier may apply for a user’s certificate; and</w:t>
      </w:r>
    </w:p>
    <w:p>
      <w:pPr>
        <w:pStyle w:val="Indenta"/>
        <w:spacing w:before="60"/>
        <w:rPr>
          <w:snapToGrid w:val="0"/>
        </w:rPr>
      </w:pPr>
      <w:r>
        <w:rPr>
          <w:snapToGrid w:val="0"/>
        </w:rPr>
        <w:tab/>
        <w:t>(b)</w:t>
      </w:r>
      <w:r>
        <w:rPr>
          <w:snapToGrid w:val="0"/>
        </w:rPr>
        <w:tab/>
        <w:t>an authorised distributor may apply for a user’s certificate.</w:t>
      </w:r>
    </w:p>
    <w:p>
      <w:pPr>
        <w:pStyle w:val="Heading5"/>
        <w:spacing w:before="200"/>
        <w:rPr>
          <w:snapToGrid w:val="0"/>
        </w:rPr>
      </w:pPr>
      <w:bookmarkStart w:id="79" w:name="_Toc469893026"/>
      <w:bookmarkStart w:id="80" w:name="_Toc527535583"/>
      <w:bookmarkStart w:id="81" w:name="_Toc530207207"/>
      <w:r>
        <w:rPr>
          <w:rStyle w:val="CharSectno"/>
        </w:rPr>
        <w:t>27</w:t>
      </w:r>
      <w:r>
        <w:rPr>
          <w:snapToGrid w:val="0"/>
        </w:rPr>
        <w:t>.</w:t>
      </w:r>
      <w:r>
        <w:rPr>
          <w:snapToGrid w:val="0"/>
        </w:rPr>
        <w:tab/>
        <w:t>Applying for an ORD user’s certificate</w:t>
      </w:r>
      <w:bookmarkEnd w:id="79"/>
      <w:bookmarkEnd w:id="80"/>
      <w:bookmarkEnd w:id="81"/>
      <w:r>
        <w:rPr>
          <w:snapToGrid w:val="0"/>
        </w:rPr>
        <w:t xml:space="preserve"> </w:t>
      </w:r>
    </w:p>
    <w:p>
      <w:pPr>
        <w:pStyle w:val="Subsection"/>
        <w:spacing w:before="140"/>
        <w:rPr>
          <w:snapToGrid w:val="0"/>
        </w:rPr>
      </w:pPr>
      <w:r>
        <w:rPr>
          <w:snapToGrid w:val="0"/>
        </w:rPr>
        <w:tab/>
      </w:r>
      <w:r>
        <w:rPr>
          <w:snapToGrid w:val="0"/>
        </w:rPr>
        <w:tab/>
        <w:t>An application for a user’s certificate must be made to the Commissioner in an approved form.</w:t>
      </w:r>
    </w:p>
    <w:p>
      <w:pPr>
        <w:pStyle w:val="Heading5"/>
        <w:spacing w:before="200"/>
        <w:rPr>
          <w:snapToGrid w:val="0"/>
        </w:rPr>
      </w:pPr>
      <w:bookmarkStart w:id="82" w:name="_Toc469893027"/>
      <w:bookmarkStart w:id="83" w:name="_Toc527535584"/>
      <w:bookmarkStart w:id="84" w:name="_Toc530207208"/>
      <w:r>
        <w:rPr>
          <w:rStyle w:val="CharSectno"/>
        </w:rPr>
        <w:t>28</w:t>
      </w:r>
      <w:r>
        <w:rPr>
          <w:snapToGrid w:val="0"/>
        </w:rPr>
        <w:t>.</w:t>
      </w:r>
      <w:r>
        <w:rPr>
          <w:snapToGrid w:val="0"/>
        </w:rPr>
        <w:tab/>
        <w:t>Issue of an ORD user’s certificate</w:t>
      </w:r>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If an application is made in accordance with section 27, the Commissioner may issue the applicant with an ORD user’s certificate, or with 2 or more if there is a good reason to do so.</w:t>
      </w:r>
    </w:p>
    <w:p>
      <w:pPr>
        <w:pStyle w:val="Subsection"/>
        <w:spacing w:before="140"/>
        <w:rPr>
          <w:snapToGrid w:val="0"/>
        </w:rPr>
      </w:pPr>
      <w:r>
        <w:rPr>
          <w:snapToGrid w:val="0"/>
        </w:rPr>
        <w:tab/>
        <w:t>(2)</w:t>
      </w:r>
      <w:r>
        <w:rPr>
          <w:snapToGrid w:val="0"/>
        </w:rPr>
        <w:tab/>
        <w:t>An ORD user’s certificate is valid on and from the date it is issued until it is cancelled under section 40 or 41.</w:t>
      </w:r>
    </w:p>
    <w:p>
      <w:pPr>
        <w:pStyle w:val="Heading5"/>
        <w:spacing w:before="200"/>
        <w:rPr>
          <w:snapToGrid w:val="0"/>
        </w:rPr>
      </w:pPr>
      <w:bookmarkStart w:id="85" w:name="_Toc469893028"/>
      <w:bookmarkStart w:id="86" w:name="_Toc527535585"/>
      <w:bookmarkStart w:id="87" w:name="_Toc530207209"/>
      <w:r>
        <w:rPr>
          <w:rStyle w:val="CharSectno"/>
        </w:rPr>
        <w:t>29</w:t>
      </w:r>
      <w:r>
        <w:rPr>
          <w:snapToGrid w:val="0"/>
        </w:rPr>
        <w:t>.</w:t>
      </w:r>
      <w:r>
        <w:rPr>
          <w:snapToGrid w:val="0"/>
        </w:rPr>
        <w:tab/>
        <w:t>Conditions of an ORD user’s certificate</w:t>
      </w:r>
      <w:bookmarkEnd w:id="85"/>
      <w:bookmarkEnd w:id="86"/>
      <w:bookmarkEnd w:id="87"/>
      <w:r>
        <w:rPr>
          <w:snapToGrid w:val="0"/>
        </w:rPr>
        <w:t xml:space="preserve"> </w:t>
      </w:r>
    </w:p>
    <w:p>
      <w:pPr>
        <w:pStyle w:val="Subsection"/>
        <w:spacing w:before="140"/>
        <w:rPr>
          <w:snapToGrid w:val="0"/>
        </w:rPr>
      </w:pPr>
      <w:r>
        <w:rPr>
          <w:snapToGrid w:val="0"/>
        </w:rPr>
        <w:tab/>
        <w:t>(1)</w:t>
      </w:r>
      <w:r>
        <w:rPr>
          <w:snapToGrid w:val="0"/>
        </w:rPr>
        <w:tab/>
        <w:t>An ORD user’s certificate is subject to these conditions:</w:t>
      </w:r>
    </w:p>
    <w:p>
      <w:pPr>
        <w:pStyle w:val="Indenta"/>
        <w:spacing w:before="60"/>
        <w:rPr>
          <w:snapToGrid w:val="0"/>
        </w:rPr>
      </w:pPr>
      <w:r>
        <w:rPr>
          <w:snapToGrid w:val="0"/>
        </w:rPr>
        <w:tab/>
        <w:t>(a)</w:t>
      </w:r>
      <w:r>
        <w:rPr>
          <w:snapToGrid w:val="0"/>
        </w:rPr>
        <w:tab/>
        <w:t xml:space="preserve">the holder must keep records, in accordance with the Commissioner’s written directions, that enable the Commissioner to ascertain readily — </w:t>
      </w:r>
    </w:p>
    <w:p>
      <w:pPr>
        <w:pStyle w:val="Indenti"/>
        <w:spacing w:before="60"/>
        <w:rPr>
          <w:snapToGrid w:val="0"/>
        </w:rPr>
      </w:pPr>
      <w:r>
        <w:rPr>
          <w:snapToGrid w:val="0"/>
        </w:rPr>
        <w:tab/>
        <w:t>(i)</w:t>
      </w:r>
      <w:r>
        <w:rPr>
          <w:snapToGrid w:val="0"/>
        </w:rPr>
        <w:tab/>
        <w:t>the details of all diesel supplied to the holder at the ORD subsidized price; and</w:t>
      </w:r>
    </w:p>
    <w:p>
      <w:pPr>
        <w:pStyle w:val="Indenti"/>
        <w:spacing w:before="60"/>
        <w:rPr>
          <w:snapToGrid w:val="0"/>
        </w:rPr>
      </w:pPr>
      <w:r>
        <w:rPr>
          <w:snapToGrid w:val="0"/>
        </w:rPr>
        <w:tab/>
        <w:t>(ii)</w:t>
      </w:r>
      <w:r>
        <w:rPr>
          <w:snapToGrid w:val="0"/>
        </w:rPr>
        <w:tab/>
        <w:t>where and for what purpose that diesel was used;</w:t>
      </w:r>
    </w:p>
    <w:p>
      <w:pPr>
        <w:pStyle w:val="Indenta"/>
        <w:rPr>
          <w:snapToGrid w:val="0"/>
        </w:rPr>
      </w:pPr>
      <w:r>
        <w:rPr>
          <w:snapToGrid w:val="0"/>
        </w:rPr>
        <w:tab/>
        <w:t>(b)</w:t>
      </w:r>
      <w:r>
        <w:rPr>
          <w:snapToGrid w:val="0"/>
        </w:rPr>
        <w:tab/>
        <w:t>the holder must comply with the diesel acquisition conditions set out in section 30;</w:t>
      </w:r>
    </w:p>
    <w:p>
      <w:pPr>
        <w:pStyle w:val="Indenta"/>
        <w:rPr>
          <w:snapToGrid w:val="0"/>
        </w:rPr>
      </w:pPr>
      <w:r>
        <w:rPr>
          <w:snapToGrid w:val="0"/>
        </w:rPr>
        <w:tab/>
        <w:t>(c)</w:t>
      </w:r>
      <w:r>
        <w:rPr>
          <w:snapToGrid w:val="0"/>
        </w:rPr>
        <w:tab/>
        <w:t>the holder must comply with the diesel use conditions set out in section 31;</w:t>
      </w:r>
    </w:p>
    <w:p>
      <w:pPr>
        <w:pStyle w:val="Indenta"/>
        <w:rPr>
          <w:snapToGrid w:val="0"/>
        </w:rPr>
      </w:pPr>
      <w:r>
        <w:rPr>
          <w:snapToGrid w:val="0"/>
        </w:rPr>
        <w:tab/>
        <w:t>(d)</w:t>
      </w:r>
      <w:r>
        <w:rPr>
          <w:snapToGrid w:val="0"/>
        </w:rPr>
        <w:tab/>
        <w:t>the holder must comply with any other conditions that the Commissioner imposes under section 37.</w:t>
      </w:r>
    </w:p>
    <w:p>
      <w:pPr>
        <w:pStyle w:val="Subsection"/>
        <w:spacing w:before="140"/>
        <w:rPr>
          <w:snapToGrid w:val="0"/>
        </w:rPr>
      </w:pPr>
      <w:r>
        <w:rPr>
          <w:snapToGrid w:val="0"/>
        </w:rPr>
        <w:tab/>
        <w:t>(2)</w:t>
      </w:r>
      <w:r>
        <w:rPr>
          <w:snapToGrid w:val="0"/>
        </w:rPr>
        <w:tab/>
        <w:t>The holder of an ORD user’s certificate who objects to a direction made by the Commissioner under subsection (1)(a) may apply to the Minister for a review of the Commissioner’s decision and section 60 applies accordingly.</w:t>
      </w:r>
    </w:p>
    <w:p>
      <w:pPr>
        <w:pStyle w:val="Subsection"/>
        <w:spacing w:before="140"/>
        <w:rPr>
          <w:snapToGrid w:val="0"/>
        </w:rPr>
      </w:pPr>
      <w:r>
        <w:tab/>
        <w:t>(3)</w:t>
      </w:r>
      <w:r>
        <w:tab/>
        <w:t>Paragraphs (a) and (c) of subsection (1) apply even though a person ceases to hold an ORD user’s certificate.</w:t>
      </w:r>
    </w:p>
    <w:p>
      <w:pPr>
        <w:pStyle w:val="Footnotesection"/>
        <w:spacing w:before="100"/>
        <w:ind w:left="890" w:hanging="890"/>
      </w:pPr>
      <w:r>
        <w:tab/>
        <w:t>[Section 29 amended by No. 22 of 1998 s. 5; No. 53 of 1999 s. 11.]</w:t>
      </w:r>
    </w:p>
    <w:p>
      <w:pPr>
        <w:pStyle w:val="Heading5"/>
        <w:spacing w:before="200"/>
        <w:rPr>
          <w:snapToGrid w:val="0"/>
        </w:rPr>
      </w:pPr>
      <w:bookmarkStart w:id="88" w:name="_Toc469893029"/>
      <w:bookmarkStart w:id="89" w:name="_Toc527535586"/>
      <w:bookmarkStart w:id="90" w:name="_Toc530207210"/>
      <w:r>
        <w:rPr>
          <w:rStyle w:val="CharSectno"/>
        </w:rPr>
        <w:t>30</w:t>
      </w:r>
      <w:r>
        <w:rPr>
          <w:snapToGrid w:val="0"/>
        </w:rPr>
        <w:t>.</w:t>
      </w:r>
      <w:r>
        <w:rPr>
          <w:snapToGrid w:val="0"/>
        </w:rPr>
        <w:tab/>
        <w:t>Diesel acquisition conditions</w:t>
      </w:r>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This section sets out the diesel acquisition conditions of an ORD user’s certificate.</w:t>
      </w:r>
    </w:p>
    <w:p>
      <w:pPr>
        <w:pStyle w:val="Subsection"/>
        <w:spacing w:before="140"/>
        <w:rPr>
          <w:snapToGrid w:val="0"/>
        </w:rPr>
      </w:pPr>
      <w:r>
        <w:rPr>
          <w:snapToGrid w:val="0"/>
        </w:rPr>
        <w:tab/>
        <w:t>(2)</w:t>
      </w:r>
      <w:r>
        <w:rPr>
          <w:snapToGrid w:val="0"/>
        </w:rPr>
        <w:tab/>
        <w:t>The holder must produce the original of the certificate — </w:t>
      </w:r>
    </w:p>
    <w:p>
      <w:pPr>
        <w:pStyle w:val="Indenta"/>
        <w:spacing w:before="60"/>
        <w:rPr>
          <w:snapToGrid w:val="0"/>
        </w:rPr>
      </w:pPr>
      <w:r>
        <w:rPr>
          <w:snapToGrid w:val="0"/>
        </w:rPr>
        <w:tab/>
        <w:t>(a)</w:t>
      </w:r>
      <w:r>
        <w:rPr>
          <w:snapToGrid w:val="0"/>
        </w:rPr>
        <w:tab/>
        <w:t>to every licensed supplier whom the holder requests to supply the holder with a quantity of diesel at the ORD subsidized price; and</w:t>
      </w:r>
    </w:p>
    <w:p>
      <w:pPr>
        <w:pStyle w:val="Indenta"/>
        <w:spacing w:before="60"/>
        <w:rPr>
          <w:snapToGrid w:val="0"/>
        </w:rPr>
      </w:pPr>
      <w:r>
        <w:rPr>
          <w:snapToGrid w:val="0"/>
        </w:rPr>
        <w:tab/>
        <w:t>(b)</w:t>
      </w:r>
      <w:r>
        <w:rPr>
          <w:snapToGrid w:val="0"/>
        </w:rPr>
        <w:tab/>
        <w:t>to every authorised distributor whom the holder requests to supply the holder with a quantity of diesel at the ORD subsidized price,</w:t>
      </w:r>
    </w:p>
    <w:p>
      <w:pPr>
        <w:pStyle w:val="Subsection"/>
        <w:spacing w:before="80"/>
        <w:rPr>
          <w:snapToGrid w:val="0"/>
        </w:rPr>
      </w:pPr>
      <w:r>
        <w:rPr>
          <w:snapToGrid w:val="0"/>
        </w:rPr>
        <w:tab/>
      </w:r>
      <w:r>
        <w:rPr>
          <w:snapToGrid w:val="0"/>
        </w:rPr>
        <w:tab/>
        <w:t>on the first occasion of making such a request after being issued with the ORD user’s certificate so that the supplier or distributor can inspect it and make a record of it.</w:t>
      </w:r>
    </w:p>
    <w:p>
      <w:pPr>
        <w:pStyle w:val="Subsection"/>
        <w:spacing w:before="140"/>
        <w:rPr>
          <w:snapToGrid w:val="0"/>
        </w:rPr>
      </w:pPr>
      <w:r>
        <w:rPr>
          <w:snapToGrid w:val="0"/>
        </w:rPr>
        <w:tab/>
        <w:t>(3)</w:t>
      </w:r>
      <w:r>
        <w:rPr>
          <w:snapToGrid w:val="0"/>
        </w:rPr>
        <w:tab/>
        <w:t>If a licensed supplier or an authorised distributor from whom the holder has requested a supply of diesel at the ORD subsidized price so requests, the holder must produce the original of the certificate so that the supplier or distributor can inspect it and make a record of it.</w:t>
      </w:r>
    </w:p>
    <w:p>
      <w:pPr>
        <w:pStyle w:val="Heading5"/>
        <w:rPr>
          <w:snapToGrid w:val="0"/>
        </w:rPr>
      </w:pPr>
      <w:bookmarkStart w:id="91" w:name="_Toc469893030"/>
      <w:bookmarkStart w:id="92" w:name="_Toc527535587"/>
      <w:bookmarkStart w:id="93" w:name="_Toc530207211"/>
      <w:r>
        <w:rPr>
          <w:rStyle w:val="CharSectno"/>
        </w:rPr>
        <w:t>31</w:t>
      </w:r>
      <w:r>
        <w:rPr>
          <w:snapToGrid w:val="0"/>
        </w:rPr>
        <w:t>.</w:t>
      </w:r>
      <w:r>
        <w:rPr>
          <w:snapToGrid w:val="0"/>
        </w:rPr>
        <w:tab/>
        <w:t>Diesel use conditions</w:t>
      </w:r>
      <w:bookmarkEnd w:id="91"/>
      <w:bookmarkEnd w:id="92"/>
      <w:bookmarkEnd w:id="93"/>
      <w:r>
        <w:rPr>
          <w:snapToGrid w:val="0"/>
        </w:rPr>
        <w:t xml:space="preserve"> </w:t>
      </w:r>
    </w:p>
    <w:p>
      <w:pPr>
        <w:pStyle w:val="Subsection"/>
        <w:rPr>
          <w:snapToGrid w:val="0"/>
        </w:rPr>
      </w:pPr>
      <w:r>
        <w:rPr>
          <w:snapToGrid w:val="0"/>
        </w:rPr>
        <w:tab/>
        <w:t>(1)</w:t>
      </w:r>
      <w:r>
        <w:rPr>
          <w:snapToGrid w:val="0"/>
        </w:rPr>
        <w:tab/>
        <w:t>This section sets out the diesel use conditions of an ORD user’s certificate.</w:t>
      </w:r>
    </w:p>
    <w:p>
      <w:pPr>
        <w:pStyle w:val="Subsection"/>
        <w:rPr>
          <w:snapToGrid w:val="0"/>
        </w:rPr>
      </w:pPr>
      <w:r>
        <w:rPr>
          <w:snapToGrid w:val="0"/>
        </w:rPr>
        <w:tab/>
        <w:t>(2)</w:t>
      </w:r>
      <w:r>
        <w:rPr>
          <w:snapToGrid w:val="0"/>
        </w:rPr>
        <w:tab/>
        <w:t xml:space="preserve">Diesel that is supplied to the holder at the ORD subsidized price must be used by the holder — </w:t>
      </w:r>
    </w:p>
    <w:p>
      <w:pPr>
        <w:pStyle w:val="Indenta"/>
      </w:pPr>
      <w:r>
        <w:tab/>
        <w:t>(a)</w:t>
      </w:r>
      <w:r>
        <w:tab/>
        <w:t>in WA; or</w:t>
      </w:r>
    </w:p>
    <w:p>
      <w:pPr>
        <w:pStyle w:val="Indenta"/>
      </w:pPr>
      <w:r>
        <w:tab/>
        <w:t>(b)</w:t>
      </w:r>
      <w:r>
        <w:tab/>
        <w:t xml:space="preserve">in waters that are — </w:t>
      </w:r>
    </w:p>
    <w:p>
      <w:pPr>
        <w:pStyle w:val="Indenti"/>
      </w:pPr>
      <w:r>
        <w:tab/>
        <w:t>(i)</w:t>
      </w:r>
      <w:r>
        <w:tab/>
        <w:t>beyond the outer limits of the coastal waters of a State;</w:t>
      </w:r>
    </w:p>
    <w:p>
      <w:pPr>
        <w:pStyle w:val="Indenti"/>
      </w:pPr>
      <w:r>
        <w:tab/>
        <w:t>(ii)</w:t>
      </w:r>
      <w:r>
        <w:tab/>
        <w:t>beyond the outer limits of the coastal waters of the Territory; and</w:t>
      </w:r>
    </w:p>
    <w:p>
      <w:pPr>
        <w:pStyle w:val="Indenti"/>
        <w:rPr>
          <w:snapToGrid w:val="0"/>
        </w:rPr>
      </w:pPr>
      <w:r>
        <w:tab/>
        <w:t>(iii)</w:t>
      </w:r>
      <w:r>
        <w:tab/>
        <w:t>within the outer limits of the exclusive economic zone.</w:t>
      </w:r>
    </w:p>
    <w:p>
      <w:pPr>
        <w:pStyle w:val="Subsection"/>
        <w:rPr>
          <w:snapToGrid w:val="0"/>
        </w:rPr>
      </w:pPr>
      <w:r>
        <w:rPr>
          <w:snapToGrid w:val="0"/>
        </w:rPr>
        <w:tab/>
        <w:t>(3)</w:t>
      </w:r>
      <w:r>
        <w:rPr>
          <w:snapToGrid w:val="0"/>
        </w:rPr>
        <w:tab/>
        <w:t>The holder must not use diesel that is supplied to the holder at the ORD subsidized price for propelling a road vehicle on a public road.</w:t>
      </w:r>
    </w:p>
    <w:p>
      <w:pPr>
        <w:pStyle w:val="Subsection"/>
        <w:rPr>
          <w:snapToGrid w:val="0"/>
        </w:rPr>
      </w:pPr>
      <w:r>
        <w:rPr>
          <w:snapToGrid w:val="0"/>
        </w:rPr>
        <w:tab/>
        <w:t>(4)</w:t>
      </w:r>
      <w:r>
        <w:rPr>
          <w:snapToGrid w:val="0"/>
        </w:rPr>
        <w:tab/>
        <w:t>The holder must not supply any other person with any diesel that is supplied to the holder at the ORD subsidized price.</w:t>
      </w:r>
    </w:p>
    <w:p>
      <w:pPr>
        <w:pStyle w:val="Subsection"/>
        <w:rPr>
          <w:snapToGrid w:val="0"/>
        </w:rPr>
      </w:pPr>
      <w:r>
        <w:rPr>
          <w:snapToGrid w:val="0"/>
        </w:rPr>
        <w:tab/>
        <w:t>(5)</w:t>
      </w:r>
      <w:r>
        <w:rPr>
          <w:snapToGrid w:val="0"/>
        </w:rPr>
        <w:tab/>
        <w:t xml:space="preserve">In subsection (2) — </w:t>
      </w:r>
    </w:p>
    <w:p>
      <w:pPr>
        <w:pStyle w:val="Defstart"/>
      </w:pPr>
      <w:r>
        <w:tab/>
      </w:r>
      <w:r>
        <w:rPr>
          <w:b/>
        </w:rPr>
        <w:t>“</w:t>
      </w:r>
      <w:r>
        <w:rPr>
          <w:rStyle w:val="CharDefText"/>
        </w:rPr>
        <w:t>coastal waters of a State</w:t>
      </w:r>
      <w:r>
        <w:rPr>
          <w:b/>
        </w:rPr>
        <w:t>”</w:t>
      </w:r>
      <w:r>
        <w:t xml:space="preserve"> has the same meaning as, in relation to each State, that expression has in the </w:t>
      </w:r>
      <w:r>
        <w:rPr>
          <w:i/>
        </w:rPr>
        <w:t>Coastal Waters (State Powers) Act 1980</w:t>
      </w:r>
      <w:r>
        <w:t xml:space="preserve"> of the Commonwealth;</w:t>
      </w:r>
    </w:p>
    <w:p>
      <w:pPr>
        <w:pStyle w:val="Defstart"/>
      </w:pPr>
      <w:r>
        <w:tab/>
      </w:r>
      <w:r>
        <w:rPr>
          <w:b/>
        </w:rPr>
        <w:t>“</w:t>
      </w:r>
      <w:r>
        <w:rPr>
          <w:rStyle w:val="CharDefText"/>
        </w:rPr>
        <w:t>coastal waters of the Territory</w:t>
      </w:r>
      <w:r>
        <w:rPr>
          <w:b/>
        </w:rPr>
        <w:t>”</w:t>
      </w:r>
      <w:r>
        <w:t xml:space="preserve"> has the same meaning as that expression has in the </w:t>
      </w:r>
      <w:r>
        <w:rPr>
          <w:i/>
        </w:rPr>
        <w:t>Coastal Waters (Northern Territory Powers) Act 1980</w:t>
      </w:r>
      <w:r>
        <w:t xml:space="preserve"> of the Commonwealth;</w:t>
      </w:r>
    </w:p>
    <w:p>
      <w:pPr>
        <w:pStyle w:val="Defstart"/>
      </w:pPr>
      <w:r>
        <w:tab/>
      </w:r>
      <w:r>
        <w:rPr>
          <w:b/>
        </w:rPr>
        <w:t>“</w:t>
      </w:r>
      <w:r>
        <w:rPr>
          <w:rStyle w:val="CharDefText"/>
        </w:rPr>
        <w:t>exclusive economic zone</w:t>
      </w:r>
      <w:r>
        <w:rPr>
          <w:b/>
        </w:rPr>
        <w:t>”</w:t>
      </w:r>
      <w:r>
        <w:t xml:space="preserve"> has the same meaning as in the </w:t>
      </w:r>
      <w:r>
        <w:rPr>
          <w:i/>
        </w:rPr>
        <w:t>Seas and Submerged Lands Act 1973</w:t>
      </w:r>
      <w:r>
        <w:t xml:space="preserve"> of the Commonwealth.</w:t>
      </w:r>
    </w:p>
    <w:p>
      <w:pPr>
        <w:pStyle w:val="Footnotesection"/>
      </w:pPr>
      <w:r>
        <w:tab/>
        <w:t>[Section 31 amended by No. 58 of 1998 s. 5.]</w:t>
      </w:r>
    </w:p>
    <w:p>
      <w:pPr>
        <w:pStyle w:val="Heading5"/>
        <w:rPr>
          <w:snapToGrid w:val="0"/>
        </w:rPr>
      </w:pPr>
      <w:bookmarkStart w:id="94" w:name="_Toc469893031"/>
      <w:bookmarkStart w:id="95" w:name="_Toc527535588"/>
      <w:bookmarkStart w:id="96" w:name="_Toc530207212"/>
      <w:r>
        <w:rPr>
          <w:rStyle w:val="CharSectno"/>
        </w:rPr>
        <w:t>32</w:t>
      </w:r>
      <w:r>
        <w:rPr>
          <w:snapToGrid w:val="0"/>
        </w:rPr>
        <w:t>.</w:t>
      </w:r>
      <w:r>
        <w:rPr>
          <w:snapToGrid w:val="0"/>
        </w:rPr>
        <w:tab/>
        <w:t>Correcting breaches of diesel use conditions</w:t>
      </w:r>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If a certified user contravenes a diesel use condition of the ORD user’s certificate, the holder must within 21 days after the contravention — </w:t>
      </w:r>
    </w:p>
    <w:p>
      <w:pPr>
        <w:pStyle w:val="Indenta"/>
        <w:spacing w:before="60"/>
        <w:rPr>
          <w:snapToGrid w:val="0"/>
        </w:rPr>
      </w:pPr>
      <w:r>
        <w:rPr>
          <w:snapToGrid w:val="0"/>
        </w:rPr>
        <w:tab/>
        <w:t>(a)</w:t>
      </w:r>
      <w:r>
        <w:rPr>
          <w:snapToGrid w:val="0"/>
        </w:rPr>
        <w:tab/>
        <w:t>notify the Commissioner accordingly; and</w:t>
      </w:r>
    </w:p>
    <w:p>
      <w:pPr>
        <w:pStyle w:val="Indenta"/>
        <w:spacing w:before="60"/>
        <w:rPr>
          <w:snapToGrid w:val="0"/>
        </w:rPr>
      </w:pPr>
      <w:r>
        <w:rPr>
          <w:snapToGrid w:val="0"/>
        </w:rPr>
        <w:tab/>
        <w:t>(b)</w:t>
      </w:r>
      <w:r>
        <w:rPr>
          <w:snapToGrid w:val="0"/>
        </w:rPr>
        <w:tab/>
        <w:t>pay the Commissioner an amount equal to the value of the unjustified benefit that the user has received.</w:t>
      </w:r>
    </w:p>
    <w:p>
      <w:pPr>
        <w:pStyle w:val="Subsection"/>
        <w:spacing w:before="120"/>
        <w:rPr>
          <w:snapToGrid w:val="0"/>
        </w:rPr>
      </w:pPr>
      <w:r>
        <w:rPr>
          <w:snapToGrid w:val="0"/>
        </w:rPr>
        <w:tab/>
        <w:t>(2)</w:t>
      </w:r>
      <w:r>
        <w:rPr>
          <w:snapToGrid w:val="0"/>
        </w:rPr>
        <w:tab/>
        <w:t>The value of the unjustified benefit is the quantity of diesel (in litres) that was used or supplied in contravention of the diesel use conditions multiplied by the ORD subsidy rate at the time that the user was supplied with that diesel at the ORD subsidized price.</w:t>
      </w:r>
    </w:p>
    <w:p>
      <w:pPr>
        <w:pStyle w:val="Heading5"/>
        <w:spacing w:before="180"/>
        <w:rPr>
          <w:snapToGrid w:val="0"/>
        </w:rPr>
      </w:pPr>
      <w:bookmarkStart w:id="97" w:name="_Toc469893032"/>
      <w:bookmarkStart w:id="98" w:name="_Toc527535589"/>
      <w:bookmarkStart w:id="99" w:name="_Toc530207213"/>
      <w:r>
        <w:rPr>
          <w:rStyle w:val="CharSectno"/>
        </w:rPr>
        <w:t>33</w:t>
      </w:r>
      <w:r>
        <w:rPr>
          <w:snapToGrid w:val="0"/>
        </w:rPr>
        <w:t>.</w:t>
      </w:r>
      <w:r>
        <w:rPr>
          <w:snapToGrid w:val="0"/>
        </w:rPr>
        <w:tab/>
        <w:t>Failure to correct breach</w:t>
      </w:r>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If a certified user contravenes a diesel use condition of the ORD user’s certificate and does not comply with section 32(1), the Commissioner may give the user a notice that sets out — </w:t>
      </w:r>
    </w:p>
    <w:p>
      <w:pPr>
        <w:pStyle w:val="Indenta"/>
        <w:spacing w:before="60"/>
        <w:rPr>
          <w:snapToGrid w:val="0"/>
        </w:rPr>
      </w:pPr>
      <w:r>
        <w:rPr>
          <w:snapToGrid w:val="0"/>
        </w:rPr>
        <w:tab/>
        <w:t>(a)</w:t>
      </w:r>
      <w:r>
        <w:rPr>
          <w:snapToGrid w:val="0"/>
        </w:rPr>
        <w:tab/>
        <w:t>details of the contravention; and</w:t>
      </w:r>
    </w:p>
    <w:p>
      <w:pPr>
        <w:pStyle w:val="Indenta"/>
        <w:spacing w:before="60"/>
        <w:rPr>
          <w:snapToGrid w:val="0"/>
        </w:rPr>
      </w:pPr>
      <w:r>
        <w:rPr>
          <w:snapToGrid w:val="0"/>
        </w:rPr>
        <w:tab/>
        <w:t>(b)</w:t>
      </w:r>
      <w:r>
        <w:rPr>
          <w:snapToGrid w:val="0"/>
        </w:rPr>
        <w:tab/>
        <w:t>the penalty to be paid by the user.</w:t>
      </w:r>
    </w:p>
    <w:p>
      <w:pPr>
        <w:pStyle w:val="Subsection"/>
        <w:spacing w:before="120"/>
        <w:rPr>
          <w:snapToGrid w:val="0"/>
        </w:rPr>
      </w:pPr>
      <w:r>
        <w:rPr>
          <w:snapToGrid w:val="0"/>
        </w:rPr>
        <w:tab/>
        <w:t>(2)</w:t>
      </w:r>
      <w:r>
        <w:rPr>
          <w:snapToGrid w:val="0"/>
        </w:rPr>
        <w:tab/>
        <w:t>The penalty is to be double — </w:t>
      </w:r>
    </w:p>
    <w:p>
      <w:pPr>
        <w:pStyle w:val="Indenta"/>
        <w:spacing w:before="60"/>
        <w:rPr>
          <w:snapToGrid w:val="0"/>
        </w:rPr>
      </w:pPr>
      <w:r>
        <w:rPr>
          <w:snapToGrid w:val="0"/>
        </w:rPr>
        <w:tab/>
        <w:t>(a)</w:t>
      </w:r>
      <w:r>
        <w:rPr>
          <w:snapToGrid w:val="0"/>
        </w:rPr>
        <w:tab/>
        <w:t>the amount that the user ought to have paid under section 32(1); or</w:t>
      </w:r>
    </w:p>
    <w:p>
      <w:pPr>
        <w:pStyle w:val="Indenta"/>
        <w:spacing w:before="60"/>
        <w:rPr>
          <w:snapToGrid w:val="0"/>
        </w:rPr>
      </w:pPr>
      <w:r>
        <w:rPr>
          <w:snapToGrid w:val="0"/>
        </w:rPr>
        <w:tab/>
        <w:t>(b)</w:t>
      </w:r>
      <w:r>
        <w:rPr>
          <w:snapToGrid w:val="0"/>
        </w:rPr>
        <w:tab/>
        <w:t>if the Commissioner is not able to determine that amount because of insufficient, false or misleading records or information — an amount assessed by the Commissioner.</w:t>
      </w:r>
    </w:p>
    <w:p>
      <w:pPr>
        <w:pStyle w:val="Subsection"/>
        <w:spacing w:before="110"/>
        <w:rPr>
          <w:snapToGrid w:val="0"/>
        </w:rPr>
      </w:pPr>
      <w:r>
        <w:rPr>
          <w:snapToGrid w:val="0"/>
        </w:rPr>
        <w:tab/>
        <w:t>(3)</w:t>
      </w:r>
      <w:r>
        <w:rPr>
          <w:snapToGrid w:val="0"/>
        </w:rPr>
        <w:tab/>
        <w:t>If the user does not pay the penalty on or before the date for payment specified in the notice, the user commits an offence and the Commissioner may suspend the operation of the user’s ORD user’s certificate until the penalty is paid.</w:t>
      </w:r>
    </w:p>
    <w:p>
      <w:pPr>
        <w:pStyle w:val="Subsection"/>
        <w:spacing w:before="110"/>
        <w:rPr>
          <w:snapToGrid w:val="0"/>
        </w:rPr>
      </w:pPr>
      <w:r>
        <w:rPr>
          <w:snapToGrid w:val="0"/>
        </w:rPr>
        <w:tab/>
        <w:t>(4)</w:t>
      </w:r>
      <w:r>
        <w:rPr>
          <w:snapToGrid w:val="0"/>
        </w:rPr>
        <w:tab/>
        <w:t>The date for payment must be at least 14 days after the date on which the notice is given to the user.</w:t>
      </w:r>
    </w:p>
    <w:p>
      <w:pPr>
        <w:pStyle w:val="Subsection"/>
        <w:spacing w:before="110"/>
        <w:rPr>
          <w:snapToGrid w:val="0"/>
        </w:rPr>
      </w:pPr>
      <w:r>
        <w:rPr>
          <w:snapToGrid w:val="0"/>
        </w:rPr>
        <w:tab/>
        <w:t>(5)</w:t>
      </w:r>
      <w:r>
        <w:rPr>
          <w:snapToGrid w:val="0"/>
        </w:rPr>
        <w:tab/>
        <w:t>The Commissioner may remit not more than half of the penalty.</w:t>
      </w:r>
    </w:p>
    <w:p>
      <w:pPr>
        <w:pStyle w:val="Heading2"/>
      </w:pPr>
      <w:r>
        <w:rPr>
          <w:rStyle w:val="CharPartNo"/>
        </w:rPr>
        <w:t>Part 5</w:t>
      </w:r>
      <w:r>
        <w:rPr>
          <w:rStyle w:val="CharDivNo"/>
        </w:rPr>
        <w:t> </w:t>
      </w:r>
      <w:r>
        <w:t>—</w:t>
      </w:r>
      <w:r>
        <w:rPr>
          <w:rStyle w:val="CharDivText"/>
        </w:rPr>
        <w:t> </w:t>
      </w:r>
      <w:r>
        <w:rPr>
          <w:rStyle w:val="CharPartText"/>
        </w:rPr>
        <w:t xml:space="preserve">General provisions applying to permits </w:t>
      </w:r>
    </w:p>
    <w:p>
      <w:pPr>
        <w:pStyle w:val="Heading5"/>
        <w:rPr>
          <w:snapToGrid w:val="0"/>
        </w:rPr>
      </w:pPr>
      <w:bookmarkStart w:id="100" w:name="_Toc469893033"/>
      <w:bookmarkStart w:id="101" w:name="_Toc527535590"/>
      <w:bookmarkStart w:id="102" w:name="_Toc530207214"/>
      <w:r>
        <w:rPr>
          <w:rStyle w:val="CharSectno"/>
        </w:rPr>
        <w:t>34</w:t>
      </w:r>
      <w:r>
        <w:rPr>
          <w:snapToGrid w:val="0"/>
        </w:rPr>
        <w:t>.</w:t>
      </w:r>
      <w:r>
        <w:rPr>
          <w:snapToGrid w:val="0"/>
        </w:rPr>
        <w:tab/>
        <w:t>Commissioner may request information from applicant</w:t>
      </w:r>
      <w:bookmarkEnd w:id="100"/>
      <w:bookmarkEnd w:id="101"/>
      <w:bookmarkEnd w:id="102"/>
      <w:r>
        <w:rPr>
          <w:snapToGrid w:val="0"/>
        </w:rPr>
        <w:t xml:space="preserve"> </w:t>
      </w:r>
    </w:p>
    <w:p>
      <w:pPr>
        <w:pStyle w:val="Subsection"/>
        <w:rPr>
          <w:snapToGrid w:val="0"/>
        </w:rPr>
      </w:pPr>
      <w:r>
        <w:rPr>
          <w:snapToGrid w:val="0"/>
        </w:rPr>
        <w:tab/>
        <w:t>(1)</w:t>
      </w:r>
      <w:r>
        <w:rPr>
          <w:snapToGrid w:val="0"/>
        </w:rPr>
        <w:tab/>
        <w:t>If the Commissioner is not satisfied with the information in an application for a permit the Commissioner may request the applicant to provide further information in relation to the application.</w:t>
      </w:r>
    </w:p>
    <w:p>
      <w:pPr>
        <w:pStyle w:val="Subsection"/>
        <w:rPr>
          <w:snapToGrid w:val="0"/>
        </w:rPr>
      </w:pPr>
      <w:r>
        <w:rPr>
          <w:snapToGrid w:val="0"/>
        </w:rPr>
        <w:tab/>
        <w:t>(2)</w:t>
      </w:r>
      <w:r>
        <w:rPr>
          <w:snapToGrid w:val="0"/>
        </w:rPr>
        <w:tab/>
        <w:t>If the applicant does not provide the further information, the Commissioner may refuse to issue the permit.</w:t>
      </w:r>
    </w:p>
    <w:p>
      <w:pPr>
        <w:pStyle w:val="Heading5"/>
        <w:rPr>
          <w:snapToGrid w:val="0"/>
        </w:rPr>
      </w:pPr>
      <w:bookmarkStart w:id="103" w:name="_Toc469893034"/>
      <w:bookmarkStart w:id="104" w:name="_Toc527535591"/>
      <w:bookmarkStart w:id="105" w:name="_Toc530207215"/>
      <w:r>
        <w:rPr>
          <w:rStyle w:val="CharSectno"/>
        </w:rPr>
        <w:t>35</w:t>
      </w:r>
      <w:r>
        <w:rPr>
          <w:snapToGrid w:val="0"/>
        </w:rPr>
        <w:t>.</w:t>
      </w:r>
      <w:r>
        <w:rPr>
          <w:snapToGrid w:val="0"/>
        </w:rPr>
        <w:tab/>
        <w:t>Form of permit</w:t>
      </w:r>
      <w:bookmarkEnd w:id="103"/>
      <w:bookmarkEnd w:id="104"/>
      <w:bookmarkEnd w:id="105"/>
      <w:r>
        <w:rPr>
          <w:snapToGrid w:val="0"/>
        </w:rPr>
        <w:t xml:space="preserve"> </w:t>
      </w:r>
    </w:p>
    <w:p>
      <w:pPr>
        <w:pStyle w:val="Subsection"/>
        <w:rPr>
          <w:snapToGrid w:val="0"/>
        </w:rPr>
      </w:pPr>
      <w:r>
        <w:rPr>
          <w:snapToGrid w:val="0"/>
        </w:rPr>
        <w:tab/>
      </w:r>
      <w:r>
        <w:rPr>
          <w:snapToGrid w:val="0"/>
        </w:rPr>
        <w:tab/>
        <w:t>Each kind of permit is to be in an approved form.</w:t>
      </w:r>
    </w:p>
    <w:p>
      <w:pPr>
        <w:pStyle w:val="Heading5"/>
        <w:rPr>
          <w:snapToGrid w:val="0"/>
        </w:rPr>
      </w:pPr>
      <w:bookmarkStart w:id="106" w:name="_Toc469893035"/>
      <w:bookmarkStart w:id="107" w:name="_Toc527535592"/>
      <w:bookmarkStart w:id="108" w:name="_Toc530207216"/>
      <w:r>
        <w:rPr>
          <w:rStyle w:val="CharSectno"/>
        </w:rPr>
        <w:t>36</w:t>
      </w:r>
      <w:r>
        <w:rPr>
          <w:snapToGrid w:val="0"/>
        </w:rPr>
        <w:t>.</w:t>
      </w:r>
      <w:r>
        <w:rPr>
          <w:snapToGrid w:val="0"/>
        </w:rPr>
        <w:tab/>
        <w:t>Commissioner may refuse to issue permit</w:t>
      </w:r>
      <w:bookmarkEnd w:id="106"/>
      <w:bookmarkEnd w:id="107"/>
      <w:bookmarkEnd w:id="108"/>
      <w:r>
        <w:rPr>
          <w:snapToGrid w:val="0"/>
        </w:rPr>
        <w:t xml:space="preserve"> </w:t>
      </w:r>
    </w:p>
    <w:p>
      <w:pPr>
        <w:pStyle w:val="Subsection"/>
        <w:rPr>
          <w:snapToGrid w:val="0"/>
        </w:rPr>
      </w:pPr>
      <w:r>
        <w:rPr>
          <w:snapToGrid w:val="0"/>
        </w:rPr>
        <w:tab/>
        <w:t>(1)</w:t>
      </w:r>
      <w:r>
        <w:rPr>
          <w:snapToGrid w:val="0"/>
        </w:rPr>
        <w:tab/>
        <w:t>The Commissioner may refuse to issue a permit to an applicant if the applicant — </w:t>
      </w:r>
    </w:p>
    <w:p>
      <w:pPr>
        <w:pStyle w:val="Indenta"/>
        <w:rPr>
          <w:snapToGrid w:val="0"/>
        </w:rPr>
      </w:pPr>
      <w:r>
        <w:rPr>
          <w:snapToGrid w:val="0"/>
        </w:rPr>
        <w:tab/>
        <w:t>(a)</w:t>
      </w:r>
      <w:r>
        <w:rPr>
          <w:snapToGrid w:val="0"/>
        </w:rPr>
        <w:tab/>
        <w:t>was the holder of a permit of the kind being applied for that was cancelled under section 41(2) or (3); or</w:t>
      </w:r>
    </w:p>
    <w:p>
      <w:pPr>
        <w:pStyle w:val="Indenta"/>
        <w:rPr>
          <w:snapToGrid w:val="0"/>
        </w:rPr>
      </w:pPr>
      <w:r>
        <w:rPr>
          <w:snapToGrid w:val="0"/>
        </w:rPr>
        <w:tab/>
        <w:t>(b)</w:t>
      </w:r>
      <w:r>
        <w:rPr>
          <w:snapToGrid w:val="0"/>
        </w:rPr>
        <w:tab/>
        <w:t>is related to a person who was the holder of a permit of the kind being applied for that was so cancelled.</w:t>
      </w:r>
    </w:p>
    <w:p>
      <w:pPr>
        <w:pStyle w:val="Subsection"/>
        <w:rPr>
          <w:snapToGrid w:val="0"/>
        </w:rPr>
      </w:pPr>
      <w:r>
        <w:rPr>
          <w:snapToGrid w:val="0"/>
        </w:rPr>
        <w:tab/>
        <w:t>(2)</w:t>
      </w:r>
      <w:r>
        <w:rPr>
          <w:snapToGrid w:val="0"/>
        </w:rPr>
        <w:tab/>
        <w:t>An applicant who is refused a permit may apply to the Minister for a review of the Commissioner’s decision and section 60 applies accordingly.</w:t>
      </w:r>
    </w:p>
    <w:p>
      <w:pPr>
        <w:pStyle w:val="Subsection"/>
        <w:rPr>
          <w:snapToGrid w:val="0"/>
        </w:rPr>
      </w:pPr>
      <w:r>
        <w:rPr>
          <w:snapToGrid w:val="0"/>
        </w:rPr>
        <w:tab/>
        <w:t>(3)</w:t>
      </w:r>
      <w:r>
        <w:rPr>
          <w:snapToGrid w:val="0"/>
        </w:rPr>
        <w:tab/>
        <w:t xml:space="preserve">In this section persons are related if they are related for the purposes of Part IIIBA of the </w:t>
      </w:r>
      <w:r>
        <w:rPr>
          <w:i/>
          <w:snapToGrid w:val="0"/>
        </w:rPr>
        <w:t>Stamp Act 1921</w:t>
      </w:r>
      <w:r>
        <w:rPr>
          <w:snapToGrid w:val="0"/>
        </w:rPr>
        <w:t>.</w:t>
      </w:r>
    </w:p>
    <w:p>
      <w:pPr>
        <w:pStyle w:val="Heading5"/>
        <w:rPr>
          <w:snapToGrid w:val="0"/>
        </w:rPr>
      </w:pPr>
      <w:bookmarkStart w:id="109" w:name="_Toc469893036"/>
      <w:bookmarkStart w:id="110" w:name="_Toc527535593"/>
      <w:bookmarkStart w:id="111" w:name="_Toc530207217"/>
      <w:r>
        <w:rPr>
          <w:rStyle w:val="CharSectno"/>
        </w:rPr>
        <w:t>37</w:t>
      </w:r>
      <w:r>
        <w:rPr>
          <w:snapToGrid w:val="0"/>
        </w:rPr>
        <w:t>.</w:t>
      </w:r>
      <w:r>
        <w:rPr>
          <w:snapToGrid w:val="0"/>
        </w:rPr>
        <w:tab/>
        <w:t>Commissioner’s conditions</w:t>
      </w:r>
      <w:bookmarkEnd w:id="109"/>
      <w:bookmarkEnd w:id="110"/>
      <w:bookmarkEnd w:id="111"/>
      <w:r>
        <w:rPr>
          <w:snapToGrid w:val="0"/>
        </w:rPr>
        <w:t xml:space="preserve"> </w:t>
      </w:r>
    </w:p>
    <w:p>
      <w:pPr>
        <w:pStyle w:val="Subsection"/>
        <w:rPr>
          <w:snapToGrid w:val="0"/>
        </w:rPr>
      </w:pPr>
      <w:r>
        <w:rPr>
          <w:snapToGrid w:val="0"/>
        </w:rPr>
        <w:tab/>
        <w:t>(1)</w:t>
      </w:r>
      <w:r>
        <w:rPr>
          <w:snapToGrid w:val="0"/>
        </w:rPr>
        <w:tab/>
        <w:t>The Commissioner may impose any conditions on a permit that the Commissioner thinks fit.</w:t>
      </w:r>
    </w:p>
    <w:p>
      <w:pPr>
        <w:pStyle w:val="Subsection"/>
        <w:rPr>
          <w:snapToGrid w:val="0"/>
        </w:rPr>
      </w:pPr>
      <w:r>
        <w:rPr>
          <w:snapToGrid w:val="0"/>
        </w:rPr>
        <w:tab/>
        <w:t>(2)</w:t>
      </w:r>
      <w:r>
        <w:rPr>
          <w:snapToGrid w:val="0"/>
        </w:rPr>
        <w:tab/>
        <w:t>Subsection (1) does not require the Commissioner to impose the same conditions on all permits or on all permits of a particular kind.</w:t>
      </w:r>
    </w:p>
    <w:p>
      <w:pPr>
        <w:pStyle w:val="Subsection"/>
        <w:rPr>
          <w:snapToGrid w:val="0"/>
        </w:rPr>
      </w:pPr>
      <w:r>
        <w:rPr>
          <w:snapToGrid w:val="0"/>
        </w:rPr>
        <w:tab/>
        <w:t>(3)</w:t>
      </w:r>
      <w:r>
        <w:rPr>
          <w:snapToGrid w:val="0"/>
        </w:rPr>
        <w:tab/>
        <w:t>The Commissioner may impose conditions when issuing the permit or at any time after that.</w:t>
      </w:r>
    </w:p>
    <w:p>
      <w:pPr>
        <w:pStyle w:val="Subsection"/>
        <w:rPr>
          <w:snapToGrid w:val="0"/>
        </w:rPr>
      </w:pPr>
      <w:r>
        <w:rPr>
          <w:snapToGrid w:val="0"/>
        </w:rPr>
        <w:tab/>
        <w:t>(4)</w:t>
      </w:r>
      <w:r>
        <w:rPr>
          <w:snapToGrid w:val="0"/>
        </w:rPr>
        <w:tab/>
        <w:t>The Commissioner may at any time amend or cancel such conditions.</w:t>
      </w:r>
    </w:p>
    <w:p>
      <w:pPr>
        <w:pStyle w:val="Subsection"/>
        <w:rPr>
          <w:snapToGrid w:val="0"/>
        </w:rPr>
      </w:pPr>
      <w:r>
        <w:rPr>
          <w:snapToGrid w:val="0"/>
        </w:rPr>
        <w:tab/>
        <w:t>(5)</w:t>
      </w:r>
      <w:r>
        <w:rPr>
          <w:snapToGrid w:val="0"/>
        </w:rPr>
        <w:tab/>
        <w:t>If the Commissioner imposes conditions after issuing a permit or amends or cancels conditions, the Commissioner must give the holder of it written notice of the decision and the date on which the decision takes effect.</w:t>
      </w:r>
    </w:p>
    <w:p>
      <w:pPr>
        <w:pStyle w:val="Subsection"/>
        <w:rPr>
          <w:snapToGrid w:val="0"/>
        </w:rPr>
      </w:pPr>
      <w:r>
        <w:rPr>
          <w:snapToGrid w:val="0"/>
        </w:rPr>
        <w:tab/>
        <w:t>(6)</w:t>
      </w:r>
      <w:r>
        <w:rPr>
          <w:snapToGrid w:val="0"/>
        </w:rPr>
        <w:tab/>
        <w:t>The holder of a permit who objects to a decision by the Commissioner under this section may apply to the Minister for a review of the Commissioner’s decision and section 60 applies accordingly.</w:t>
      </w:r>
    </w:p>
    <w:p>
      <w:pPr>
        <w:pStyle w:val="Heading5"/>
        <w:rPr>
          <w:snapToGrid w:val="0"/>
        </w:rPr>
      </w:pPr>
      <w:bookmarkStart w:id="112" w:name="_Toc469893037"/>
      <w:bookmarkStart w:id="113" w:name="_Toc527535594"/>
      <w:bookmarkStart w:id="114" w:name="_Toc530207218"/>
      <w:r>
        <w:rPr>
          <w:rStyle w:val="CharSectno"/>
        </w:rPr>
        <w:t>38</w:t>
      </w:r>
      <w:r>
        <w:rPr>
          <w:snapToGrid w:val="0"/>
        </w:rPr>
        <w:t>.</w:t>
      </w:r>
      <w:r>
        <w:rPr>
          <w:snapToGrid w:val="0"/>
        </w:rPr>
        <w:tab/>
        <w:t>Permits to be handed in if holder no longer eligible</w:t>
      </w:r>
      <w:bookmarkEnd w:id="112"/>
      <w:bookmarkEnd w:id="113"/>
      <w:bookmarkEnd w:id="114"/>
      <w:r>
        <w:rPr>
          <w:snapToGrid w:val="0"/>
        </w:rPr>
        <w:t xml:space="preserve"> </w:t>
      </w:r>
    </w:p>
    <w:p>
      <w:pPr>
        <w:pStyle w:val="Subsection"/>
        <w:rPr>
          <w:snapToGrid w:val="0"/>
        </w:rPr>
      </w:pPr>
      <w:r>
        <w:rPr>
          <w:snapToGrid w:val="0"/>
        </w:rPr>
        <w:tab/>
        <w:t>(1)</w:t>
      </w:r>
      <w:r>
        <w:rPr>
          <w:snapToGrid w:val="0"/>
        </w:rPr>
        <w:tab/>
        <w:t>The holder of a permit must deliver it to the Commissioner if the holder ceases to be a person that could apply for a permit of that kind.</w:t>
      </w:r>
    </w:p>
    <w:p>
      <w:pPr>
        <w:pStyle w:val="Subsection"/>
        <w:rPr>
          <w:snapToGrid w:val="0"/>
        </w:rPr>
      </w:pPr>
      <w:r>
        <w:rPr>
          <w:snapToGrid w:val="0"/>
        </w:rPr>
        <w:tab/>
        <w:t>(2)</w:t>
      </w:r>
      <w:r>
        <w:rPr>
          <w:snapToGrid w:val="0"/>
        </w:rPr>
        <w:tab/>
        <w:t>A person who contravenes subsection (1) commits an offence.</w:t>
      </w:r>
    </w:p>
    <w:p>
      <w:pPr>
        <w:pStyle w:val="Heading5"/>
        <w:rPr>
          <w:snapToGrid w:val="0"/>
        </w:rPr>
      </w:pPr>
      <w:bookmarkStart w:id="115" w:name="_Toc469893038"/>
      <w:bookmarkStart w:id="116" w:name="_Toc527535595"/>
      <w:bookmarkStart w:id="117" w:name="_Toc530207219"/>
      <w:r>
        <w:rPr>
          <w:rStyle w:val="CharSectno"/>
        </w:rPr>
        <w:t>39</w:t>
      </w:r>
      <w:r>
        <w:rPr>
          <w:snapToGrid w:val="0"/>
        </w:rPr>
        <w:t>.</w:t>
      </w:r>
      <w:r>
        <w:rPr>
          <w:snapToGrid w:val="0"/>
        </w:rPr>
        <w:tab/>
        <w:t>Lost permits</w:t>
      </w:r>
      <w:bookmarkEnd w:id="115"/>
      <w:bookmarkEnd w:id="116"/>
      <w:bookmarkEnd w:id="117"/>
      <w:r>
        <w:rPr>
          <w:snapToGrid w:val="0"/>
        </w:rPr>
        <w:t xml:space="preserve"> </w:t>
      </w:r>
    </w:p>
    <w:p>
      <w:pPr>
        <w:pStyle w:val="Subsection"/>
        <w:rPr>
          <w:snapToGrid w:val="0"/>
        </w:rPr>
      </w:pPr>
      <w:r>
        <w:rPr>
          <w:snapToGrid w:val="0"/>
        </w:rPr>
        <w:tab/>
        <w:t>(1)</w:t>
      </w:r>
      <w:r>
        <w:rPr>
          <w:snapToGrid w:val="0"/>
        </w:rPr>
        <w:tab/>
        <w:t>The holder of a permit who loses it must notify the Commissioner accordingly.</w:t>
      </w:r>
    </w:p>
    <w:p>
      <w:pPr>
        <w:pStyle w:val="Subsection"/>
        <w:rPr>
          <w:snapToGrid w:val="0"/>
        </w:rPr>
      </w:pPr>
      <w:r>
        <w:rPr>
          <w:snapToGrid w:val="0"/>
        </w:rPr>
        <w:tab/>
        <w:t>(2)</w:t>
      </w:r>
      <w:r>
        <w:rPr>
          <w:snapToGrid w:val="0"/>
        </w:rPr>
        <w:tab/>
        <w:t>Such a person may apply for another permit of the same kind.</w:t>
      </w:r>
    </w:p>
    <w:p>
      <w:pPr>
        <w:pStyle w:val="Subsection"/>
        <w:rPr>
          <w:snapToGrid w:val="0"/>
        </w:rPr>
      </w:pPr>
      <w:r>
        <w:rPr>
          <w:snapToGrid w:val="0"/>
        </w:rPr>
        <w:tab/>
        <w:t>(3)</w:t>
      </w:r>
      <w:r>
        <w:rPr>
          <w:snapToGrid w:val="0"/>
        </w:rPr>
        <w:tab/>
        <w:t>A person who contravenes subsection (1) commits an offence.</w:t>
      </w:r>
    </w:p>
    <w:p>
      <w:pPr>
        <w:pStyle w:val="Penstart"/>
        <w:rPr>
          <w:snapToGrid w:val="0"/>
        </w:rPr>
      </w:pPr>
      <w:r>
        <w:rPr>
          <w:snapToGrid w:val="0"/>
        </w:rPr>
        <w:tab/>
        <w:t>Penalty: $1 000.</w:t>
      </w:r>
    </w:p>
    <w:p>
      <w:pPr>
        <w:pStyle w:val="Heading5"/>
        <w:rPr>
          <w:snapToGrid w:val="0"/>
        </w:rPr>
      </w:pPr>
      <w:bookmarkStart w:id="118" w:name="_Toc469893039"/>
      <w:bookmarkStart w:id="119" w:name="_Toc527535596"/>
      <w:bookmarkStart w:id="120" w:name="_Toc530207220"/>
      <w:r>
        <w:rPr>
          <w:rStyle w:val="CharSectno"/>
        </w:rPr>
        <w:t>40</w:t>
      </w:r>
      <w:r>
        <w:rPr>
          <w:snapToGrid w:val="0"/>
        </w:rPr>
        <w:t>.</w:t>
      </w:r>
      <w:r>
        <w:rPr>
          <w:snapToGrid w:val="0"/>
        </w:rPr>
        <w:tab/>
        <w:t>Automatic cancellation</w:t>
      </w:r>
      <w:bookmarkEnd w:id="118"/>
      <w:bookmarkEnd w:id="119"/>
      <w:bookmarkEnd w:id="120"/>
      <w:r>
        <w:rPr>
          <w:snapToGrid w:val="0"/>
        </w:rPr>
        <w:t xml:space="preserve"> </w:t>
      </w:r>
    </w:p>
    <w:p>
      <w:pPr>
        <w:pStyle w:val="Subsection"/>
        <w:rPr>
          <w:snapToGrid w:val="0"/>
        </w:rPr>
      </w:pPr>
      <w:r>
        <w:rPr>
          <w:snapToGrid w:val="0"/>
        </w:rPr>
        <w:tab/>
      </w:r>
      <w:r>
        <w:rPr>
          <w:snapToGrid w:val="0"/>
        </w:rPr>
        <w:tab/>
        <w:t>A permit is to be taken to be cancelled if — </w:t>
      </w:r>
    </w:p>
    <w:p>
      <w:pPr>
        <w:pStyle w:val="Indenta"/>
        <w:rPr>
          <w:snapToGrid w:val="0"/>
        </w:rPr>
      </w:pPr>
      <w:r>
        <w:rPr>
          <w:snapToGrid w:val="0"/>
        </w:rPr>
        <w:tab/>
        <w:t>(a)</w:t>
      </w:r>
      <w:r>
        <w:rPr>
          <w:snapToGrid w:val="0"/>
        </w:rPr>
        <w:tab/>
        <w:t>the holder delivers it to the Commissioner;</w:t>
      </w:r>
    </w:p>
    <w:p>
      <w:pPr>
        <w:pStyle w:val="Indenta"/>
        <w:rPr>
          <w:snapToGrid w:val="0"/>
        </w:rPr>
      </w:pPr>
      <w:r>
        <w:rPr>
          <w:snapToGrid w:val="0"/>
        </w:rPr>
        <w:tab/>
        <w:t>(b)</w:t>
      </w:r>
      <w:r>
        <w:rPr>
          <w:snapToGrid w:val="0"/>
        </w:rPr>
        <w:tab/>
        <w:t>the holder notifies the Commissioner under section 39(1);</w:t>
      </w:r>
    </w:p>
    <w:p>
      <w:pPr>
        <w:pStyle w:val="Indenta"/>
        <w:rPr>
          <w:snapToGrid w:val="0"/>
        </w:rPr>
      </w:pPr>
      <w:r>
        <w:rPr>
          <w:snapToGrid w:val="0"/>
        </w:rPr>
        <w:tab/>
        <w:t>(c)</w:t>
      </w:r>
      <w:r>
        <w:rPr>
          <w:snapToGrid w:val="0"/>
        </w:rPr>
        <w:tab/>
        <w:t>the holder, being an individual, dies; or</w:t>
      </w:r>
    </w:p>
    <w:p>
      <w:pPr>
        <w:pStyle w:val="Indenta"/>
        <w:rPr>
          <w:snapToGrid w:val="0"/>
        </w:rPr>
      </w:pPr>
      <w:r>
        <w:rPr>
          <w:snapToGrid w:val="0"/>
        </w:rPr>
        <w:tab/>
        <w:t>(d)</w:t>
      </w:r>
      <w:r>
        <w:rPr>
          <w:snapToGrid w:val="0"/>
        </w:rPr>
        <w:tab/>
        <w:t>the holder, being a body corporate, is dissolved.</w:t>
      </w:r>
    </w:p>
    <w:p>
      <w:pPr>
        <w:pStyle w:val="Heading5"/>
        <w:rPr>
          <w:snapToGrid w:val="0"/>
        </w:rPr>
      </w:pPr>
      <w:bookmarkStart w:id="121" w:name="_Toc469893040"/>
      <w:bookmarkStart w:id="122" w:name="_Toc527535597"/>
      <w:bookmarkStart w:id="123" w:name="_Toc530207221"/>
      <w:r>
        <w:rPr>
          <w:rStyle w:val="CharSectno"/>
        </w:rPr>
        <w:t>41</w:t>
      </w:r>
      <w:r>
        <w:rPr>
          <w:snapToGrid w:val="0"/>
        </w:rPr>
        <w:t>.</w:t>
      </w:r>
      <w:r>
        <w:rPr>
          <w:snapToGrid w:val="0"/>
        </w:rPr>
        <w:tab/>
        <w:t>Permit may be cancelled</w:t>
      </w:r>
      <w:bookmarkEnd w:id="121"/>
      <w:bookmarkEnd w:id="122"/>
      <w:bookmarkEnd w:id="123"/>
      <w:r>
        <w:rPr>
          <w:snapToGrid w:val="0"/>
        </w:rPr>
        <w:t xml:space="preserve"> </w:t>
      </w:r>
    </w:p>
    <w:p>
      <w:pPr>
        <w:pStyle w:val="Subsection"/>
        <w:rPr>
          <w:snapToGrid w:val="0"/>
        </w:rPr>
      </w:pPr>
      <w:r>
        <w:rPr>
          <w:snapToGrid w:val="0"/>
        </w:rPr>
        <w:tab/>
        <w:t>(1)</w:t>
      </w:r>
      <w:r>
        <w:rPr>
          <w:snapToGrid w:val="0"/>
        </w:rPr>
        <w:tab/>
        <w:t>The Commissioner may cancel a permit at any time if the Commissioner has issued the holder of it with another permit of the same kind.</w:t>
      </w:r>
    </w:p>
    <w:p>
      <w:pPr>
        <w:pStyle w:val="Subsection"/>
        <w:rPr>
          <w:snapToGrid w:val="0"/>
        </w:rPr>
      </w:pPr>
      <w:r>
        <w:rPr>
          <w:snapToGrid w:val="0"/>
        </w:rPr>
        <w:tab/>
        <w:t>(2)</w:t>
      </w:r>
      <w:r>
        <w:rPr>
          <w:snapToGrid w:val="0"/>
        </w:rPr>
        <w:tab/>
        <w:t>The Commissioner may cancel a permit at any time if the Commissioner has reasonable grounds to suspect that the holder of it — </w:t>
      </w:r>
    </w:p>
    <w:p>
      <w:pPr>
        <w:pStyle w:val="Indenta"/>
        <w:rPr>
          <w:snapToGrid w:val="0"/>
        </w:rPr>
      </w:pPr>
      <w:r>
        <w:rPr>
          <w:snapToGrid w:val="0"/>
        </w:rPr>
        <w:tab/>
        <w:t>(a)</w:t>
      </w:r>
      <w:r>
        <w:rPr>
          <w:snapToGrid w:val="0"/>
        </w:rPr>
        <w:tab/>
        <w:t>has not complied with the conditions of the permit;</w:t>
      </w:r>
    </w:p>
    <w:p>
      <w:pPr>
        <w:pStyle w:val="Indenta"/>
        <w:rPr>
          <w:snapToGrid w:val="0"/>
        </w:rPr>
      </w:pPr>
      <w:r>
        <w:rPr>
          <w:snapToGrid w:val="0"/>
        </w:rPr>
        <w:tab/>
        <w:t>(b)</w:t>
      </w:r>
      <w:r>
        <w:rPr>
          <w:snapToGrid w:val="0"/>
        </w:rPr>
        <w:tab/>
        <w:t>in purported compliance with the conditions of the permit provided false or misleading information; or</w:t>
      </w:r>
    </w:p>
    <w:p>
      <w:pPr>
        <w:pStyle w:val="Indenta"/>
        <w:rPr>
          <w:snapToGrid w:val="0"/>
        </w:rPr>
      </w:pPr>
      <w:r>
        <w:rPr>
          <w:snapToGrid w:val="0"/>
        </w:rPr>
        <w:tab/>
        <w:t>(c)</w:t>
      </w:r>
      <w:r>
        <w:rPr>
          <w:snapToGrid w:val="0"/>
        </w:rPr>
        <w:tab/>
        <w:t>applied for a diesel subsidy and provided false or misleading information in connection with the application.</w:t>
      </w:r>
    </w:p>
    <w:p>
      <w:pPr>
        <w:pStyle w:val="Subsection"/>
        <w:rPr>
          <w:snapToGrid w:val="0"/>
        </w:rPr>
      </w:pPr>
      <w:r>
        <w:rPr>
          <w:snapToGrid w:val="0"/>
        </w:rPr>
        <w:tab/>
        <w:t>(3)</w:t>
      </w:r>
      <w:r>
        <w:rPr>
          <w:snapToGrid w:val="0"/>
        </w:rPr>
        <w:tab/>
        <w:t>The Commissioner may cancel a permit if the holder is convicted of an offence under this Act.</w:t>
      </w:r>
    </w:p>
    <w:p>
      <w:pPr>
        <w:pStyle w:val="Subsection"/>
        <w:rPr>
          <w:snapToGrid w:val="0"/>
        </w:rPr>
      </w:pPr>
      <w:r>
        <w:rPr>
          <w:snapToGrid w:val="0"/>
        </w:rPr>
        <w:tab/>
        <w:t>(4)</w:t>
      </w:r>
      <w:r>
        <w:rPr>
          <w:snapToGrid w:val="0"/>
        </w:rPr>
        <w:tab/>
        <w:t>If the Commissioner cancels a permit — </w:t>
      </w:r>
    </w:p>
    <w:p>
      <w:pPr>
        <w:pStyle w:val="Indenta"/>
        <w:rPr>
          <w:snapToGrid w:val="0"/>
        </w:rPr>
      </w:pPr>
      <w:r>
        <w:rPr>
          <w:snapToGrid w:val="0"/>
        </w:rPr>
        <w:tab/>
        <w:t>(a)</w:t>
      </w:r>
      <w:r>
        <w:rPr>
          <w:snapToGrid w:val="0"/>
        </w:rPr>
        <w:tab/>
        <w:t>the Commissioner must give the holder written notice of, and reasons for, the decision; and</w:t>
      </w:r>
    </w:p>
    <w:p>
      <w:pPr>
        <w:pStyle w:val="Indenta"/>
        <w:rPr>
          <w:snapToGrid w:val="0"/>
        </w:rPr>
      </w:pPr>
      <w:r>
        <w:rPr>
          <w:snapToGrid w:val="0"/>
        </w:rPr>
        <w:tab/>
        <w:t>(b)</w:t>
      </w:r>
      <w:r>
        <w:rPr>
          <w:snapToGrid w:val="0"/>
        </w:rPr>
        <w:tab/>
        <w:t>the holder of the permit must return the permit to the Commissioner within 14 days after receiving the notice.</w:t>
      </w:r>
    </w:p>
    <w:p>
      <w:pPr>
        <w:pStyle w:val="Subsection"/>
        <w:rPr>
          <w:snapToGrid w:val="0"/>
        </w:rPr>
      </w:pPr>
      <w:r>
        <w:rPr>
          <w:snapToGrid w:val="0"/>
        </w:rPr>
        <w:tab/>
        <w:t>(5)</w:t>
      </w:r>
      <w:r>
        <w:rPr>
          <w:snapToGrid w:val="0"/>
        </w:rPr>
        <w:tab/>
        <w:t>A person who contravenes subsection (4)(b)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The holder of a permit who objects to the cancellation of it by the Commissioner may apply to the Minister for a review of the Commissioner’s decision and section 60 applies accordingly.</w:t>
      </w:r>
    </w:p>
    <w:p>
      <w:pPr>
        <w:pStyle w:val="Heading5"/>
        <w:rPr>
          <w:snapToGrid w:val="0"/>
        </w:rPr>
      </w:pPr>
      <w:bookmarkStart w:id="124" w:name="_Toc469893041"/>
      <w:bookmarkStart w:id="125" w:name="_Toc527535598"/>
      <w:bookmarkStart w:id="126" w:name="_Toc530207222"/>
      <w:r>
        <w:rPr>
          <w:rStyle w:val="CharSectno"/>
        </w:rPr>
        <w:t>42</w:t>
      </w:r>
      <w:r>
        <w:rPr>
          <w:snapToGrid w:val="0"/>
        </w:rPr>
        <w:t>.</w:t>
      </w:r>
      <w:r>
        <w:rPr>
          <w:snapToGrid w:val="0"/>
        </w:rPr>
        <w:tab/>
        <w:t>Offences</w:t>
      </w:r>
      <w:bookmarkEnd w:id="124"/>
      <w:bookmarkEnd w:id="125"/>
      <w:bookmarkEnd w:id="126"/>
      <w:r>
        <w:rPr>
          <w:snapToGrid w:val="0"/>
        </w:rPr>
        <w:t xml:space="preserve"> </w:t>
      </w:r>
    </w:p>
    <w:p>
      <w:pPr>
        <w:pStyle w:val="Subsection"/>
        <w:rPr>
          <w:snapToGrid w:val="0"/>
        </w:rPr>
      </w:pPr>
      <w:r>
        <w:rPr>
          <w:snapToGrid w:val="0"/>
        </w:rPr>
        <w:tab/>
        <w:t>(1)</w:t>
      </w:r>
      <w:r>
        <w:rPr>
          <w:snapToGrid w:val="0"/>
        </w:rPr>
        <w:tab/>
        <w:t>A person who gives false or misleading information in, or in relation to, an application for a permit commits an offence.</w:t>
      </w:r>
    </w:p>
    <w:p>
      <w:pPr>
        <w:pStyle w:val="Subsection"/>
        <w:rPr>
          <w:snapToGrid w:val="0"/>
        </w:rPr>
      </w:pPr>
      <w:r>
        <w:rPr>
          <w:snapToGrid w:val="0"/>
        </w:rPr>
        <w:tab/>
        <w:t>(2)</w:t>
      </w:r>
      <w:r>
        <w:rPr>
          <w:snapToGrid w:val="0"/>
        </w:rPr>
        <w:tab/>
        <w:t>The holder of a permit who contravenes a condition of the permit commits an offence.</w:t>
      </w:r>
    </w:p>
    <w:p>
      <w:pPr>
        <w:pStyle w:val="Subsection"/>
        <w:rPr>
          <w:snapToGrid w:val="0"/>
        </w:rPr>
      </w:pPr>
      <w:r>
        <w:rPr>
          <w:snapToGrid w:val="0"/>
        </w:rPr>
        <w:tab/>
        <w:t>(3)</w:t>
      </w:r>
      <w:r>
        <w:rPr>
          <w:snapToGrid w:val="0"/>
        </w:rPr>
        <w:tab/>
        <w:t xml:space="preserve">A person convicted of an offence under subsection (2) may be punished for the offence even if the condition contravened is subsequently amended or cancelled, despite section 11 of </w:t>
      </w:r>
      <w:r>
        <w:rPr>
          <w:i/>
          <w:snapToGrid w:val="0"/>
        </w:rPr>
        <w:t>The Criminal Code</w:t>
      </w:r>
      <w:r>
        <w:rPr>
          <w:snapToGrid w:val="0"/>
        </w:rPr>
        <w:t>.</w:t>
      </w:r>
    </w:p>
    <w:p>
      <w:pPr>
        <w:pStyle w:val="Heading2"/>
      </w:pPr>
      <w:r>
        <w:rPr>
          <w:rStyle w:val="CharPartNo"/>
        </w:rPr>
        <w:t>Part 6</w:t>
      </w:r>
      <w:r>
        <w:rPr>
          <w:rStyle w:val="CharDivNo"/>
        </w:rPr>
        <w:t> </w:t>
      </w:r>
      <w:r>
        <w:t>—</w:t>
      </w:r>
      <w:r>
        <w:rPr>
          <w:rStyle w:val="CharDivText"/>
        </w:rPr>
        <w:t> </w:t>
      </w:r>
      <w:r>
        <w:rPr>
          <w:rStyle w:val="CharPartText"/>
        </w:rPr>
        <w:t xml:space="preserve">Diesel subsidies </w:t>
      </w:r>
    </w:p>
    <w:p>
      <w:pPr>
        <w:pStyle w:val="Heading5"/>
        <w:spacing w:before="200"/>
        <w:rPr>
          <w:snapToGrid w:val="0"/>
        </w:rPr>
      </w:pPr>
      <w:bookmarkStart w:id="127" w:name="_Toc469893042"/>
      <w:bookmarkStart w:id="128" w:name="_Toc527535599"/>
      <w:bookmarkStart w:id="129" w:name="_Toc530207223"/>
      <w:r>
        <w:rPr>
          <w:rStyle w:val="CharSectno"/>
        </w:rPr>
        <w:t>43</w:t>
      </w:r>
      <w:r>
        <w:rPr>
          <w:snapToGrid w:val="0"/>
        </w:rPr>
        <w:t>.</w:t>
      </w:r>
      <w:r>
        <w:rPr>
          <w:snapToGrid w:val="0"/>
        </w:rPr>
        <w:tab/>
        <w:t>Diesel subsidies to licensed suppliers</w:t>
      </w:r>
      <w:bookmarkEnd w:id="127"/>
      <w:bookmarkEnd w:id="128"/>
      <w:bookmarkEnd w:id="129"/>
      <w:r>
        <w:rPr>
          <w:snapToGrid w:val="0"/>
        </w:rPr>
        <w:t xml:space="preserve"> </w:t>
      </w:r>
    </w:p>
    <w:p>
      <w:pPr>
        <w:pStyle w:val="Subsection"/>
        <w:spacing w:before="140"/>
        <w:rPr>
          <w:snapToGrid w:val="0"/>
        </w:rPr>
      </w:pPr>
      <w:r>
        <w:rPr>
          <w:snapToGrid w:val="0"/>
        </w:rPr>
        <w:tab/>
        <w:t>(1)</w:t>
      </w:r>
      <w:r>
        <w:rPr>
          <w:snapToGrid w:val="0"/>
        </w:rPr>
        <w:tab/>
        <w:t>Subject to this Part, the diesel subsidies in subsection (2) and (3) are payable to a licensed supplier.</w:t>
      </w:r>
    </w:p>
    <w:p>
      <w:pPr>
        <w:pStyle w:val="Subsection"/>
        <w:spacing w:before="140"/>
        <w:rPr>
          <w:snapToGrid w:val="0"/>
        </w:rPr>
      </w:pPr>
      <w:r>
        <w:rPr>
          <w:snapToGrid w:val="0"/>
        </w:rPr>
        <w:tab/>
        <w:t>(2)</w:t>
      </w:r>
      <w:r>
        <w:rPr>
          <w:snapToGrid w:val="0"/>
        </w:rPr>
        <w:tab/>
        <w:t>A general diesel subsidy is payable to the licensed supplier — </w:t>
      </w:r>
    </w:p>
    <w:p>
      <w:pPr>
        <w:pStyle w:val="Indenta"/>
        <w:spacing w:before="60"/>
        <w:rPr>
          <w:snapToGrid w:val="0"/>
        </w:rPr>
      </w:pPr>
      <w:r>
        <w:rPr>
          <w:snapToGrid w:val="0"/>
        </w:rPr>
        <w:tab/>
        <w:t>(a)</w:t>
      </w:r>
      <w:r>
        <w:rPr>
          <w:snapToGrid w:val="0"/>
        </w:rPr>
        <w:tab/>
        <w:t>for diesel that the supplier has supplied at the general subsidized price to a person who is at a place in WA, other than another licensed supplier, if the supply is of a kind referred to in section 6; and</w:t>
      </w:r>
    </w:p>
    <w:p>
      <w:pPr>
        <w:pStyle w:val="Indenta"/>
        <w:spacing w:before="60"/>
        <w:rPr>
          <w:snapToGrid w:val="0"/>
        </w:rPr>
      </w:pPr>
      <w:r>
        <w:rPr>
          <w:snapToGrid w:val="0"/>
        </w:rPr>
        <w:tab/>
        <w:t>(b)</w:t>
      </w:r>
      <w:r>
        <w:rPr>
          <w:snapToGrid w:val="0"/>
        </w:rPr>
        <w:tab/>
        <w:t>for diesel that the supplier has used for propelling a road vehicle on a public road.</w:t>
      </w:r>
    </w:p>
    <w:p>
      <w:pPr>
        <w:pStyle w:val="Subsection"/>
        <w:spacing w:before="140"/>
        <w:rPr>
          <w:snapToGrid w:val="0"/>
        </w:rPr>
      </w:pPr>
      <w:r>
        <w:rPr>
          <w:snapToGrid w:val="0"/>
        </w:rPr>
        <w:tab/>
        <w:t>(3)</w:t>
      </w:r>
      <w:r>
        <w:rPr>
          <w:snapToGrid w:val="0"/>
        </w:rPr>
        <w:tab/>
        <w:t>An ORD subsidy is payable to the licensed supplier — </w:t>
      </w:r>
    </w:p>
    <w:p>
      <w:pPr>
        <w:pStyle w:val="Indenta"/>
        <w:spacing w:before="60"/>
        <w:rPr>
          <w:snapToGrid w:val="0"/>
        </w:rPr>
      </w:pPr>
      <w:r>
        <w:rPr>
          <w:snapToGrid w:val="0"/>
        </w:rPr>
        <w:tab/>
        <w:t>(a)</w:t>
      </w:r>
      <w:r>
        <w:rPr>
          <w:snapToGrid w:val="0"/>
        </w:rPr>
        <w:tab/>
        <w:t>for diesel supplied at the ORD subsidized price to a certified user by an authorised distributor in respect of which the supplier has compensated an authorised distributor (whether the authorised distributor who supplied the diesel or another authorised distributor);</w:t>
      </w:r>
    </w:p>
    <w:p>
      <w:pPr>
        <w:pStyle w:val="Indenta"/>
        <w:spacing w:before="60"/>
        <w:rPr>
          <w:snapToGrid w:val="0"/>
        </w:rPr>
      </w:pPr>
      <w:r>
        <w:rPr>
          <w:snapToGrid w:val="0"/>
        </w:rPr>
        <w:tab/>
        <w:t>(b)</w:t>
      </w:r>
      <w:r>
        <w:rPr>
          <w:snapToGrid w:val="0"/>
        </w:rPr>
        <w:tab/>
        <w:t>for diesel that the supplier has supplied to certified users at the ORD subsidized price; and</w:t>
      </w:r>
    </w:p>
    <w:p>
      <w:pPr>
        <w:pStyle w:val="Indenta"/>
        <w:spacing w:before="60"/>
        <w:rPr>
          <w:snapToGrid w:val="0"/>
        </w:rPr>
      </w:pPr>
      <w:r>
        <w:rPr>
          <w:snapToGrid w:val="0"/>
        </w:rPr>
        <w:tab/>
        <w:t>(c)</w:t>
      </w:r>
      <w:r>
        <w:rPr>
          <w:snapToGrid w:val="0"/>
        </w:rPr>
        <w:tab/>
        <w:t>for diesel that the supplier has used under a valid ORD user’s certificate held by the supplier.</w:t>
      </w:r>
    </w:p>
    <w:p>
      <w:pPr>
        <w:pStyle w:val="Heading5"/>
        <w:spacing w:before="200"/>
        <w:rPr>
          <w:snapToGrid w:val="0"/>
        </w:rPr>
      </w:pPr>
      <w:bookmarkStart w:id="130" w:name="_Toc469893043"/>
      <w:bookmarkStart w:id="131" w:name="_Toc527535600"/>
      <w:bookmarkStart w:id="132" w:name="_Toc530207224"/>
      <w:r>
        <w:rPr>
          <w:rStyle w:val="CharSectno"/>
        </w:rPr>
        <w:t>44</w:t>
      </w:r>
      <w:r>
        <w:rPr>
          <w:snapToGrid w:val="0"/>
        </w:rPr>
        <w:t>.</w:t>
      </w:r>
      <w:r>
        <w:rPr>
          <w:snapToGrid w:val="0"/>
        </w:rPr>
        <w:tab/>
        <w:t>Applying for a subsidy</w:t>
      </w:r>
      <w:bookmarkEnd w:id="130"/>
      <w:bookmarkEnd w:id="131"/>
      <w:bookmarkEnd w:id="132"/>
      <w:r>
        <w:rPr>
          <w:snapToGrid w:val="0"/>
        </w:rPr>
        <w:t xml:space="preserve"> </w:t>
      </w:r>
    </w:p>
    <w:p>
      <w:pPr>
        <w:pStyle w:val="Subsection"/>
        <w:spacing w:before="140"/>
        <w:rPr>
          <w:snapToGrid w:val="0"/>
        </w:rPr>
      </w:pPr>
      <w:r>
        <w:rPr>
          <w:snapToGrid w:val="0"/>
        </w:rPr>
        <w:tab/>
        <w:t>(1)</w:t>
      </w:r>
      <w:r>
        <w:rPr>
          <w:snapToGrid w:val="0"/>
        </w:rPr>
        <w:tab/>
        <w:t>An application for a subsidy must be made to the Commissioner in an approved form.</w:t>
      </w:r>
    </w:p>
    <w:p>
      <w:pPr>
        <w:pStyle w:val="Subsection"/>
        <w:spacing w:before="140"/>
        <w:rPr>
          <w:snapToGrid w:val="0"/>
        </w:rPr>
      </w:pPr>
      <w:r>
        <w:rPr>
          <w:snapToGrid w:val="0"/>
        </w:rPr>
        <w:tab/>
        <w:t>(2)</w:t>
      </w:r>
      <w:r>
        <w:rPr>
          <w:snapToGrid w:val="0"/>
        </w:rPr>
        <w:tab/>
        <w:t>The application must be made in respect of a prescribed period and at a prescribed time.</w:t>
      </w:r>
    </w:p>
    <w:p>
      <w:pPr>
        <w:pStyle w:val="Subsection"/>
        <w:spacing w:before="140"/>
        <w:rPr>
          <w:snapToGrid w:val="0"/>
        </w:rPr>
      </w:pPr>
      <w:r>
        <w:rPr>
          <w:snapToGrid w:val="0"/>
        </w:rPr>
        <w:tab/>
        <w:t>(3)</w:t>
      </w:r>
      <w:r>
        <w:rPr>
          <w:snapToGrid w:val="0"/>
        </w:rPr>
        <w:tab/>
        <w:t>If the Commissioner is not satisfied with the information in an application the Commissioner may, whether before or after paying a subsidy in respect of the application, request the applicant to provide further information in relation to the application.</w:t>
      </w:r>
    </w:p>
    <w:p>
      <w:pPr>
        <w:pStyle w:val="Subsection"/>
        <w:rPr>
          <w:snapToGrid w:val="0"/>
        </w:rPr>
      </w:pPr>
      <w:r>
        <w:rPr>
          <w:snapToGrid w:val="0"/>
        </w:rPr>
        <w:tab/>
        <w:t>(4)</w:t>
      </w:r>
      <w:r>
        <w:rPr>
          <w:snapToGrid w:val="0"/>
        </w:rPr>
        <w:tab/>
        <w:t>If the applicant does not provide the further information, or the Commissioner is not satisfied with the information provided, the Commissioner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has been paid, treat the subsidy as having been paid under an incorrect subsidy application and section 49 applies accordingly.</w:t>
      </w:r>
    </w:p>
    <w:p>
      <w:pPr>
        <w:pStyle w:val="Subsection"/>
        <w:rPr>
          <w:snapToGrid w:val="0"/>
        </w:rPr>
      </w:pPr>
      <w:r>
        <w:rPr>
          <w:snapToGrid w:val="0"/>
        </w:rPr>
        <w:tab/>
        <w:t>(5)</w:t>
      </w:r>
      <w:r>
        <w:rPr>
          <w:snapToGrid w:val="0"/>
        </w:rPr>
        <w:tab/>
        <w:t>An applicant who objects to a refusal by the Commissioner may apply to the Minister for a review of the Commissioner’s decision and section 60 applies accordingly.</w:t>
      </w:r>
    </w:p>
    <w:p>
      <w:pPr>
        <w:pStyle w:val="Heading5"/>
        <w:rPr>
          <w:snapToGrid w:val="0"/>
        </w:rPr>
      </w:pPr>
      <w:bookmarkStart w:id="133" w:name="_Toc469893044"/>
      <w:bookmarkStart w:id="134" w:name="_Toc527535601"/>
      <w:bookmarkStart w:id="135" w:name="_Toc530207225"/>
      <w:r>
        <w:rPr>
          <w:rStyle w:val="CharSectno"/>
        </w:rPr>
        <w:t>45</w:t>
      </w:r>
      <w:r>
        <w:rPr>
          <w:snapToGrid w:val="0"/>
        </w:rPr>
        <w:t>.</w:t>
      </w:r>
      <w:r>
        <w:rPr>
          <w:snapToGrid w:val="0"/>
        </w:rPr>
        <w:tab/>
        <w:t>Limits to applying for subsidies</w:t>
      </w:r>
      <w:bookmarkEnd w:id="133"/>
      <w:bookmarkEnd w:id="134"/>
      <w:bookmarkEnd w:id="135"/>
      <w:r>
        <w:rPr>
          <w:snapToGrid w:val="0"/>
        </w:rPr>
        <w:t xml:space="preserve"> </w:t>
      </w:r>
    </w:p>
    <w:p>
      <w:pPr>
        <w:pStyle w:val="Subsection"/>
        <w:rPr>
          <w:snapToGrid w:val="0"/>
        </w:rPr>
      </w:pPr>
      <w:r>
        <w:rPr>
          <w:snapToGrid w:val="0"/>
        </w:rPr>
        <w:tab/>
        <w:t>(1)</w:t>
      </w:r>
      <w:r>
        <w:rPr>
          <w:snapToGrid w:val="0"/>
        </w:rPr>
        <w:tab/>
        <w:t>A licensed supplier must not apply for a general diesel subsidy for diesel for which the supplier or any other person has previously applied for or been paid a general diesel subsidy.</w:t>
      </w:r>
    </w:p>
    <w:p>
      <w:pPr>
        <w:pStyle w:val="Subsection"/>
        <w:rPr>
          <w:snapToGrid w:val="0"/>
        </w:rPr>
      </w:pPr>
      <w:r>
        <w:rPr>
          <w:snapToGrid w:val="0"/>
        </w:rPr>
        <w:tab/>
        <w:t>(2)</w:t>
      </w:r>
      <w:r>
        <w:rPr>
          <w:snapToGrid w:val="0"/>
        </w:rPr>
        <w:tab/>
        <w:t>A licensed supplier must not apply for an ORD subsidy for diesel for which the supplier or any other person has previously applied for or been paid an ORD subsidy.</w:t>
      </w:r>
    </w:p>
    <w:p>
      <w:pPr>
        <w:pStyle w:val="Subsection"/>
        <w:rPr>
          <w:snapToGrid w:val="0"/>
        </w:rPr>
      </w:pPr>
      <w:r>
        <w:rPr>
          <w:snapToGrid w:val="0"/>
        </w:rPr>
        <w:tab/>
        <w:t>(3)</w:t>
      </w:r>
      <w:r>
        <w:rPr>
          <w:snapToGrid w:val="0"/>
        </w:rPr>
        <w:tab/>
        <w:t>A licensed supplier must not apply for a diesel subsidy for diesel that the supplier has supplied to another licensed supplier.</w:t>
      </w:r>
    </w:p>
    <w:p>
      <w:pPr>
        <w:pStyle w:val="Subsection"/>
        <w:rPr>
          <w:snapToGrid w:val="0"/>
        </w:rPr>
      </w:pPr>
      <w:r>
        <w:rPr>
          <w:snapToGrid w:val="0"/>
        </w:rPr>
        <w:tab/>
        <w:t>(4)</w:t>
      </w:r>
      <w:r>
        <w:rPr>
          <w:snapToGrid w:val="0"/>
        </w:rPr>
        <w:tab/>
        <w:t>A licensed supplier must not apply for a diesel subsidy for diesel that the supplier has supplied to a person at a place outside Australia.</w:t>
      </w:r>
    </w:p>
    <w:p>
      <w:pPr>
        <w:pStyle w:val="Subsection"/>
        <w:rPr>
          <w:snapToGrid w:val="0"/>
        </w:rPr>
      </w:pPr>
      <w:r>
        <w:rPr>
          <w:snapToGrid w:val="0"/>
        </w:rPr>
        <w:tab/>
        <w:t>(5)</w:t>
      </w:r>
      <w:r>
        <w:rPr>
          <w:snapToGrid w:val="0"/>
        </w:rPr>
        <w:tab/>
        <w:t>A person who applies for a subsidy in contravention of this section commits an offence unless the person has complied with section 48(2).</w:t>
      </w:r>
    </w:p>
    <w:p>
      <w:pPr>
        <w:pStyle w:val="Heading5"/>
        <w:rPr>
          <w:snapToGrid w:val="0"/>
        </w:rPr>
      </w:pPr>
      <w:bookmarkStart w:id="136" w:name="_Toc469893045"/>
      <w:bookmarkStart w:id="137" w:name="_Toc527535602"/>
      <w:bookmarkStart w:id="138" w:name="_Toc530207226"/>
      <w:r>
        <w:rPr>
          <w:rStyle w:val="CharSectno"/>
        </w:rPr>
        <w:t>46</w:t>
      </w:r>
      <w:r>
        <w:rPr>
          <w:snapToGrid w:val="0"/>
        </w:rPr>
        <w:t>.</w:t>
      </w:r>
      <w:r>
        <w:rPr>
          <w:snapToGrid w:val="0"/>
        </w:rPr>
        <w:tab/>
        <w:t>Commissioner to pay subsidies</w:t>
      </w:r>
      <w:bookmarkEnd w:id="136"/>
      <w:bookmarkEnd w:id="137"/>
      <w:bookmarkEnd w:id="138"/>
      <w:r>
        <w:rPr>
          <w:snapToGrid w:val="0"/>
        </w:rPr>
        <w:t xml:space="preserve"> </w:t>
      </w:r>
    </w:p>
    <w:p>
      <w:pPr>
        <w:pStyle w:val="Subsection"/>
        <w:rPr>
          <w:snapToGrid w:val="0"/>
        </w:rPr>
      </w:pPr>
      <w:r>
        <w:rPr>
          <w:snapToGrid w:val="0"/>
        </w:rPr>
        <w:tab/>
        <w:t>(1)</w:t>
      </w:r>
      <w:r>
        <w:rPr>
          <w:snapToGrid w:val="0"/>
        </w:rPr>
        <w:tab/>
        <w:t>If a licensed supplier applies for a subsidy in accordance with sections 44 and 45, the Commissioner is to pay the supplier a subsidy calculated under the regulations.</w:t>
      </w:r>
    </w:p>
    <w:p>
      <w:pPr>
        <w:pStyle w:val="Subsection"/>
        <w:rPr>
          <w:snapToGrid w:val="0"/>
        </w:rPr>
      </w:pPr>
      <w:r>
        <w:rPr>
          <w:snapToGrid w:val="0"/>
        </w:rPr>
        <w:tab/>
        <w:t>(2)</w:t>
      </w:r>
      <w:r>
        <w:rPr>
          <w:snapToGrid w:val="0"/>
        </w:rPr>
        <w:tab/>
        <w:t>The regulations may provide for the reduction of the amount of a diesel subsidy (including a reduction to zero) for a quantity of diesel in a case where a subsidy is payable for that diesel under a law or scheme operating in another State or a Territory.</w:t>
      </w:r>
    </w:p>
    <w:p>
      <w:pPr>
        <w:pStyle w:val="Heading5"/>
        <w:rPr>
          <w:snapToGrid w:val="0"/>
        </w:rPr>
      </w:pPr>
      <w:bookmarkStart w:id="139" w:name="_Toc469893046"/>
      <w:bookmarkStart w:id="140" w:name="_Toc527535603"/>
      <w:bookmarkStart w:id="141" w:name="_Toc530207227"/>
      <w:r>
        <w:rPr>
          <w:rStyle w:val="CharSectno"/>
        </w:rPr>
        <w:t>47</w:t>
      </w:r>
      <w:r>
        <w:rPr>
          <w:snapToGrid w:val="0"/>
        </w:rPr>
        <w:t>.</w:t>
      </w:r>
      <w:r>
        <w:rPr>
          <w:snapToGrid w:val="0"/>
        </w:rPr>
        <w:tab/>
        <w:t>Consolidated Fund appropriated</w:t>
      </w:r>
      <w:bookmarkEnd w:id="139"/>
      <w:bookmarkEnd w:id="140"/>
      <w:bookmarkEnd w:id="141"/>
      <w:r>
        <w:rPr>
          <w:snapToGrid w:val="0"/>
        </w:rPr>
        <w:t xml:space="preserve"> </w:t>
      </w:r>
    </w:p>
    <w:p>
      <w:pPr>
        <w:pStyle w:val="Subsection"/>
        <w:rPr>
          <w:snapToGrid w:val="0"/>
        </w:rPr>
      </w:pPr>
      <w:r>
        <w:rPr>
          <w:snapToGrid w:val="0"/>
        </w:rPr>
        <w:tab/>
      </w:r>
      <w:r>
        <w:rPr>
          <w:snapToGrid w:val="0"/>
        </w:rPr>
        <w:tab/>
        <w:t>The money required to pay diesel subsidies is to be charged to the Consolidated Fund which is appropriated accordingly.</w:t>
      </w:r>
    </w:p>
    <w:p>
      <w:pPr>
        <w:pStyle w:val="Heading5"/>
        <w:rPr>
          <w:snapToGrid w:val="0"/>
        </w:rPr>
      </w:pPr>
      <w:bookmarkStart w:id="142" w:name="_Toc469893047"/>
      <w:bookmarkStart w:id="143" w:name="_Toc527535604"/>
      <w:bookmarkStart w:id="144" w:name="_Toc530207228"/>
      <w:r>
        <w:rPr>
          <w:rStyle w:val="CharSectno"/>
        </w:rPr>
        <w:t>48</w:t>
      </w:r>
      <w:r>
        <w:rPr>
          <w:snapToGrid w:val="0"/>
        </w:rPr>
        <w:t>.</w:t>
      </w:r>
      <w:r>
        <w:rPr>
          <w:snapToGrid w:val="0"/>
        </w:rPr>
        <w:tab/>
        <w:t>Correcting incorrect subsidy applications</w:t>
      </w:r>
      <w:bookmarkEnd w:id="142"/>
      <w:bookmarkEnd w:id="143"/>
      <w:bookmarkEnd w:id="144"/>
      <w:r>
        <w:rPr>
          <w:snapToGrid w:val="0"/>
        </w:rPr>
        <w:t xml:space="preserve"> </w:t>
      </w:r>
    </w:p>
    <w:p>
      <w:pPr>
        <w:pStyle w:val="Subsection"/>
        <w:rPr>
          <w:snapToGrid w:val="0"/>
        </w:rPr>
      </w:pPr>
      <w:r>
        <w:rPr>
          <w:snapToGrid w:val="0"/>
        </w:rPr>
        <w:tab/>
        <w:t>(1)</w:t>
      </w:r>
      <w:r>
        <w:rPr>
          <w:snapToGrid w:val="0"/>
        </w:rPr>
        <w:tab/>
        <w:t>In this section and section 49 a licensed supplier makes an incorrect subsidy application if the supplier applies for a diesel subsidy — </w:t>
      </w:r>
    </w:p>
    <w:p>
      <w:pPr>
        <w:pStyle w:val="Indenta"/>
        <w:rPr>
          <w:snapToGrid w:val="0"/>
        </w:rPr>
      </w:pPr>
      <w:r>
        <w:rPr>
          <w:snapToGrid w:val="0"/>
        </w:rPr>
        <w:tab/>
        <w:t>(a)</w:t>
      </w:r>
      <w:r>
        <w:rPr>
          <w:snapToGrid w:val="0"/>
        </w:rPr>
        <w:tab/>
        <w:t>in contravention of section 45;</w:t>
      </w:r>
    </w:p>
    <w:p>
      <w:pPr>
        <w:pStyle w:val="Indenta"/>
        <w:rPr>
          <w:snapToGrid w:val="0"/>
        </w:rPr>
      </w:pPr>
      <w:r>
        <w:rPr>
          <w:snapToGrid w:val="0"/>
        </w:rPr>
        <w:tab/>
        <w:t>(b)</w:t>
      </w:r>
      <w:r>
        <w:rPr>
          <w:snapToGrid w:val="0"/>
        </w:rPr>
        <w:tab/>
        <w:t>for diesel that has been supplied or used in circumstances involving a breach of a condition of the person’s fuel supplier’s licence;</w:t>
      </w:r>
    </w:p>
    <w:p>
      <w:pPr>
        <w:pStyle w:val="Indenta"/>
        <w:rPr>
          <w:snapToGrid w:val="0"/>
        </w:rPr>
      </w:pPr>
      <w:r>
        <w:rPr>
          <w:snapToGrid w:val="0"/>
        </w:rPr>
        <w:tab/>
        <w:t>(c)</w:t>
      </w:r>
      <w:r>
        <w:rPr>
          <w:snapToGrid w:val="0"/>
        </w:rPr>
        <w:tab/>
        <w:t>in circumstances where a subsidy, or the subsidy applied for, is not payable for the diesel; or</w:t>
      </w:r>
    </w:p>
    <w:p>
      <w:pPr>
        <w:pStyle w:val="Indenta"/>
        <w:rPr>
          <w:snapToGrid w:val="0"/>
        </w:rPr>
      </w:pPr>
      <w:r>
        <w:rPr>
          <w:snapToGrid w:val="0"/>
        </w:rPr>
        <w:tab/>
        <w:t>(d)</w:t>
      </w:r>
      <w:r>
        <w:rPr>
          <w:snapToGrid w:val="0"/>
        </w:rPr>
        <w:tab/>
        <w:t>in circumstances where the amount of the subsidy applied for is greater than the amount of the subsidy that ought to have been applied for.</w:t>
      </w:r>
    </w:p>
    <w:p>
      <w:pPr>
        <w:pStyle w:val="Subsection"/>
      </w:pPr>
      <w:r>
        <w:tab/>
        <w:t>(1a)</w:t>
      </w:r>
      <w:r>
        <w:tab/>
        <w:t>This section and section 49 apply even though a person ceases to be a licensed supplier after applying for a diesel subsidy as described in subsection (1).</w:t>
      </w:r>
    </w:p>
    <w:p>
      <w:pPr>
        <w:pStyle w:val="Subsection"/>
        <w:rPr>
          <w:snapToGrid w:val="0"/>
        </w:rPr>
      </w:pPr>
      <w:r>
        <w:rPr>
          <w:snapToGrid w:val="0"/>
        </w:rPr>
        <w:tab/>
        <w:t>(2)</w:t>
      </w:r>
      <w:r>
        <w:rPr>
          <w:snapToGrid w:val="0"/>
        </w:rPr>
        <w:tab/>
        <w:t>If a licensed supplier makes an incorrect subsidy application, then the supplier must within 21 days after making the application — </w:t>
      </w:r>
    </w:p>
    <w:p>
      <w:pPr>
        <w:pStyle w:val="Indenta"/>
        <w:rPr>
          <w:snapToGrid w:val="0"/>
        </w:rPr>
      </w:pPr>
      <w:r>
        <w:rPr>
          <w:snapToGrid w:val="0"/>
        </w:rPr>
        <w:tab/>
        <w:t>(a)</w:t>
      </w:r>
      <w:r>
        <w:rPr>
          <w:snapToGrid w:val="0"/>
        </w:rPr>
        <w:tab/>
        <w:t>notify the Commissioner accordingly; and</w:t>
      </w:r>
    </w:p>
    <w:p>
      <w:pPr>
        <w:pStyle w:val="Indenta"/>
        <w:rPr>
          <w:snapToGrid w:val="0"/>
        </w:rPr>
      </w:pPr>
      <w:r>
        <w:rPr>
          <w:snapToGrid w:val="0"/>
        </w:rPr>
        <w:tab/>
        <w:t>(b)</w:t>
      </w:r>
      <w:r>
        <w:rPr>
          <w:snapToGrid w:val="0"/>
        </w:rPr>
        <w:tab/>
        <w:t>pay the Commissioner an amount equal to the unjustified benefit that the supplier has received or will receive.</w:t>
      </w:r>
    </w:p>
    <w:p>
      <w:pPr>
        <w:pStyle w:val="Subsection"/>
        <w:rPr>
          <w:snapToGrid w:val="0"/>
        </w:rPr>
      </w:pPr>
      <w:r>
        <w:rPr>
          <w:snapToGrid w:val="0"/>
        </w:rPr>
        <w:tab/>
        <w:t>(3)</w:t>
      </w:r>
      <w:r>
        <w:rPr>
          <w:snapToGrid w:val="0"/>
        </w:rPr>
        <w:tab/>
        <w:t>The unjustified benefit is the amount by which the diesel subsidy applied for in the incorrect subsidy application is greater than the diesel subsidy to which the supplier is entitled under this Act.</w:t>
      </w:r>
    </w:p>
    <w:p>
      <w:pPr>
        <w:pStyle w:val="Footnotesection"/>
      </w:pPr>
      <w:r>
        <w:tab/>
        <w:t>[Section 48 amended by No. 53 of 1999 s. 12.]</w:t>
      </w:r>
    </w:p>
    <w:p>
      <w:pPr>
        <w:pStyle w:val="Heading5"/>
        <w:rPr>
          <w:snapToGrid w:val="0"/>
        </w:rPr>
      </w:pPr>
      <w:bookmarkStart w:id="145" w:name="_Toc469893048"/>
      <w:bookmarkStart w:id="146" w:name="_Toc527535605"/>
      <w:bookmarkStart w:id="147" w:name="_Toc530207229"/>
      <w:r>
        <w:rPr>
          <w:rStyle w:val="CharSectno"/>
        </w:rPr>
        <w:t>49</w:t>
      </w:r>
      <w:r>
        <w:rPr>
          <w:snapToGrid w:val="0"/>
        </w:rPr>
        <w:t>.</w:t>
      </w:r>
      <w:r>
        <w:rPr>
          <w:snapToGrid w:val="0"/>
        </w:rPr>
        <w:tab/>
        <w:t>Failure to correct incorrect subsidy applications</w:t>
      </w:r>
      <w:bookmarkEnd w:id="145"/>
      <w:bookmarkEnd w:id="146"/>
      <w:bookmarkEnd w:id="147"/>
      <w:r>
        <w:rPr>
          <w:snapToGrid w:val="0"/>
        </w:rPr>
        <w:t xml:space="preserve"> </w:t>
      </w:r>
    </w:p>
    <w:p>
      <w:pPr>
        <w:pStyle w:val="Subsection"/>
        <w:rPr>
          <w:snapToGrid w:val="0"/>
        </w:rPr>
      </w:pPr>
      <w:r>
        <w:rPr>
          <w:snapToGrid w:val="0"/>
        </w:rPr>
        <w:tab/>
        <w:t>(1)</w:t>
      </w:r>
      <w:r>
        <w:rPr>
          <w:snapToGrid w:val="0"/>
        </w:rPr>
        <w:tab/>
        <w:t>If a licensed supplier makes an incorrect subsidy application and does not comply with section 48(2), the Commissioner may give the supplier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supplier.</w:t>
      </w:r>
    </w:p>
    <w:p>
      <w:pPr>
        <w:pStyle w:val="Subsection"/>
        <w:rPr>
          <w:snapToGrid w:val="0"/>
        </w:rPr>
      </w:pPr>
      <w:r>
        <w:rPr>
          <w:snapToGrid w:val="0"/>
        </w:rPr>
        <w:tab/>
        <w:t>(2)</w:t>
      </w:r>
      <w:r>
        <w:rPr>
          <w:snapToGrid w:val="0"/>
        </w:rPr>
        <w:tab/>
        <w:t>The penalty is to be double — </w:t>
      </w:r>
    </w:p>
    <w:p>
      <w:pPr>
        <w:pStyle w:val="Indenta"/>
        <w:rPr>
          <w:snapToGrid w:val="0"/>
        </w:rPr>
      </w:pPr>
      <w:r>
        <w:rPr>
          <w:snapToGrid w:val="0"/>
        </w:rPr>
        <w:tab/>
        <w:t>(a)</w:t>
      </w:r>
      <w:r>
        <w:rPr>
          <w:snapToGrid w:val="0"/>
        </w:rPr>
        <w:tab/>
        <w:t>the amount that the supplier ought to have paid under section 48(2); or</w:t>
      </w:r>
    </w:p>
    <w:p>
      <w:pPr>
        <w:pStyle w:val="Indenta"/>
        <w:rPr>
          <w:snapToGrid w:val="0"/>
        </w:rPr>
      </w:pPr>
      <w:r>
        <w:rPr>
          <w:snapToGrid w:val="0"/>
        </w:rPr>
        <w:tab/>
        <w:t>(b)</w:t>
      </w:r>
      <w:r>
        <w:rPr>
          <w:snapToGrid w:val="0"/>
        </w:rPr>
        <w:tab/>
        <w:t>if the Commissioner is not able to determine that amount because of insufficient, false or misleading records or information — an amount determined by the Commissioner.</w:t>
      </w:r>
    </w:p>
    <w:p>
      <w:pPr>
        <w:pStyle w:val="Subsection"/>
        <w:rPr>
          <w:snapToGrid w:val="0"/>
        </w:rPr>
      </w:pPr>
      <w:r>
        <w:rPr>
          <w:snapToGrid w:val="0"/>
        </w:rPr>
        <w:tab/>
        <w:t>(3)</w:t>
      </w:r>
      <w:r>
        <w:rPr>
          <w:snapToGrid w:val="0"/>
        </w:rPr>
        <w:tab/>
        <w:t>If the supplier does not pay the penalty on or before the date for payment specified in the notice — </w:t>
      </w:r>
    </w:p>
    <w:p>
      <w:pPr>
        <w:pStyle w:val="Indenta"/>
        <w:rPr>
          <w:snapToGrid w:val="0"/>
        </w:rPr>
      </w:pPr>
      <w:r>
        <w:rPr>
          <w:snapToGrid w:val="0"/>
        </w:rPr>
        <w:tab/>
        <w:t>(a)</w:t>
      </w:r>
      <w:r>
        <w:rPr>
          <w:snapToGrid w:val="0"/>
        </w:rPr>
        <w:tab/>
        <w:t>the supplier commits an offence;</w:t>
      </w:r>
    </w:p>
    <w:p>
      <w:pPr>
        <w:pStyle w:val="Indenta"/>
        <w:rPr>
          <w:snapToGrid w:val="0"/>
        </w:rPr>
      </w:pPr>
      <w:r>
        <w:rPr>
          <w:snapToGrid w:val="0"/>
        </w:rPr>
        <w:tab/>
        <w:t>(b)</w:t>
      </w:r>
      <w:r>
        <w:rPr>
          <w:snapToGrid w:val="0"/>
        </w:rPr>
        <w:tab/>
        <w:t>the Commissioner may suspend the operation of the supplier’s fuel supplier’s licence until it is paid; and</w:t>
      </w:r>
    </w:p>
    <w:p>
      <w:pPr>
        <w:pStyle w:val="Indenta"/>
        <w:rPr>
          <w:snapToGrid w:val="0"/>
        </w:rPr>
      </w:pPr>
      <w:r>
        <w:rPr>
          <w:snapToGrid w:val="0"/>
        </w:rPr>
        <w:tab/>
        <w:t>(c)</w:t>
      </w:r>
      <w:r>
        <w:rPr>
          <w:snapToGrid w:val="0"/>
        </w:rPr>
        <w:tab/>
        <w:t>the Commissioner may retain the amount of it from any other diesel subsidy payable to the supplier.</w:t>
      </w:r>
    </w:p>
    <w:p>
      <w:pPr>
        <w:pStyle w:val="Subsection"/>
        <w:rPr>
          <w:snapToGrid w:val="0"/>
        </w:rPr>
      </w:pPr>
      <w:r>
        <w:rPr>
          <w:snapToGrid w:val="0"/>
        </w:rPr>
        <w:tab/>
        <w:t>(4)</w:t>
      </w:r>
      <w:r>
        <w:rPr>
          <w:snapToGrid w:val="0"/>
        </w:rPr>
        <w:tab/>
        <w:t>The date for payment must be at least 14 days after the date on which the notice is given to the person.</w:t>
      </w:r>
    </w:p>
    <w:p>
      <w:pPr>
        <w:pStyle w:val="Subsection"/>
        <w:rPr>
          <w:snapToGrid w:val="0"/>
        </w:rPr>
      </w:pPr>
      <w:r>
        <w:rPr>
          <w:snapToGrid w:val="0"/>
        </w:rPr>
        <w:tab/>
        <w:t>(5)</w:t>
      </w:r>
      <w:r>
        <w:rPr>
          <w:snapToGrid w:val="0"/>
        </w:rPr>
        <w:tab/>
        <w:t>The Commissioner may remit not more than half of the penalty.</w:t>
      </w:r>
    </w:p>
    <w:p>
      <w:pPr>
        <w:pStyle w:val="Heading2"/>
      </w:pPr>
      <w:r>
        <w:rPr>
          <w:rStyle w:val="CharPartNo"/>
        </w:rPr>
        <w:t>Part 7</w:t>
      </w:r>
      <w:r>
        <w:rPr>
          <w:rStyle w:val="CharDivNo"/>
        </w:rPr>
        <w:t> </w:t>
      </w:r>
      <w:r>
        <w:t>—</w:t>
      </w:r>
      <w:r>
        <w:rPr>
          <w:rStyle w:val="CharDivText"/>
        </w:rPr>
        <w:t> </w:t>
      </w:r>
      <w:r>
        <w:rPr>
          <w:rStyle w:val="CharPartText"/>
        </w:rPr>
        <w:t xml:space="preserve">Investigations </w:t>
      </w:r>
    </w:p>
    <w:p>
      <w:pPr>
        <w:pStyle w:val="Heading5"/>
        <w:rPr>
          <w:snapToGrid w:val="0"/>
        </w:rPr>
      </w:pPr>
      <w:bookmarkStart w:id="148" w:name="_Toc469893049"/>
      <w:bookmarkStart w:id="149" w:name="_Toc527535606"/>
      <w:bookmarkStart w:id="150" w:name="_Toc530207230"/>
      <w:r>
        <w:rPr>
          <w:rStyle w:val="CharSectno"/>
        </w:rPr>
        <w:t>50</w:t>
      </w:r>
      <w:r>
        <w:rPr>
          <w:snapToGrid w:val="0"/>
        </w:rPr>
        <w:t>.</w:t>
      </w:r>
      <w:r>
        <w:rPr>
          <w:snapToGrid w:val="0"/>
        </w:rPr>
        <w:tab/>
        <w:t>Interpretation</w:t>
      </w:r>
      <w:bookmarkEnd w:id="148"/>
      <w:bookmarkEnd w:id="149"/>
      <w:bookmarkEnd w:id="15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investigation</w:t>
      </w:r>
      <w:r>
        <w:rPr>
          <w:b/>
        </w:rPr>
        <w:t>”</w:t>
      </w:r>
      <w:r>
        <w:t xml:space="preserve"> has the definition in section 51;</w:t>
      </w:r>
    </w:p>
    <w:p>
      <w:pPr>
        <w:pStyle w:val="Defstart"/>
      </w:pPr>
      <w:r>
        <w:rPr>
          <w:b/>
        </w:rPr>
        <w:tab/>
        <w:t>“</w:t>
      </w:r>
      <w:r>
        <w:rPr>
          <w:rStyle w:val="CharDefText"/>
        </w:rPr>
        <w:t>authorised investigator</w:t>
      </w:r>
      <w:r>
        <w:rPr>
          <w:b/>
        </w:rPr>
        <w:t>”</w:t>
      </w:r>
      <w:r>
        <w:t xml:space="preserve"> means a person appointed under section 52;</w:t>
      </w:r>
    </w:p>
    <w:p>
      <w:pPr>
        <w:pStyle w:val="Defstart"/>
      </w:pPr>
      <w:r>
        <w:rPr>
          <w:b/>
        </w:rPr>
        <w:tab/>
        <w:t>“</w:t>
      </w:r>
      <w:r>
        <w:rPr>
          <w:rStyle w:val="CharDefText"/>
        </w:rPr>
        <w:t>premises</w:t>
      </w:r>
      <w:r>
        <w:rPr>
          <w:b/>
        </w:rPr>
        <w:t>”</w:t>
      </w:r>
      <w:r>
        <w:t xml:space="preserve"> means — </w:t>
      </w:r>
    </w:p>
    <w:p>
      <w:pPr>
        <w:pStyle w:val="Defpara"/>
      </w:pPr>
      <w:r>
        <w:tab/>
        <w:t>(a)</w:t>
      </w:r>
      <w:r>
        <w:tab/>
        <w:t>land (whether built on or not);</w:t>
      </w:r>
    </w:p>
    <w:p>
      <w:pPr>
        <w:pStyle w:val="Defpara"/>
      </w:pPr>
      <w:r>
        <w:tab/>
        <w:t>(b)</w:t>
      </w:r>
      <w:r>
        <w:tab/>
        <w:t>a building or structure on land;</w:t>
      </w:r>
    </w:p>
    <w:p>
      <w:pPr>
        <w:pStyle w:val="Defpara"/>
      </w:pPr>
      <w:r>
        <w:tab/>
        <w:t>(c)</w:t>
      </w:r>
      <w:r>
        <w:tab/>
        <w:t>a vehicle,</w:t>
      </w:r>
    </w:p>
    <w:p>
      <w:pPr>
        <w:pStyle w:val="Defstart"/>
      </w:pPr>
      <w:r>
        <w:tab/>
      </w:r>
      <w:r>
        <w:tab/>
        <w:t>and includes a part of premises;</w:t>
      </w:r>
    </w:p>
    <w:p>
      <w:pPr>
        <w:pStyle w:val="Defstart"/>
      </w:pPr>
      <w:r>
        <w:rPr>
          <w:b/>
        </w:rPr>
        <w:tab/>
        <w:t>“</w:t>
      </w:r>
      <w:r>
        <w:rPr>
          <w:rStyle w:val="CharDefText"/>
        </w:rPr>
        <w:t>relevant material</w:t>
      </w:r>
      <w:r>
        <w:rPr>
          <w:b/>
        </w:rPr>
        <w:t>”</w:t>
      </w:r>
      <w:r>
        <w:t xml:space="preserve"> means a record or thing relevant to an authorised investigation;</w:t>
      </w:r>
    </w:p>
    <w:p>
      <w:pPr>
        <w:pStyle w:val="Defstart"/>
      </w:pPr>
      <w:r>
        <w:rPr>
          <w:b/>
        </w:rPr>
        <w:tab/>
        <w:t>“</w:t>
      </w:r>
      <w:r>
        <w:rPr>
          <w:rStyle w:val="CharDefText"/>
        </w:rPr>
        <w:t>vehicle</w:t>
      </w:r>
      <w:r>
        <w:rPr>
          <w:b/>
        </w:rPr>
        <w:t>”</w:t>
      </w:r>
      <w:r>
        <w:t xml:space="preserve"> means any thing used or capable of being used to transport people or things by air, rail, road or water.</w:t>
      </w:r>
    </w:p>
    <w:p>
      <w:pPr>
        <w:pStyle w:val="Subsection"/>
        <w:rPr>
          <w:snapToGrid w:val="0"/>
        </w:rPr>
      </w:pPr>
      <w:r>
        <w:rPr>
          <w:snapToGrid w:val="0"/>
        </w:rPr>
        <w:tab/>
        <w:t>(2)</w:t>
      </w:r>
      <w:r>
        <w:rPr>
          <w:snapToGrid w:val="0"/>
        </w:rPr>
        <w:tab/>
        <w:t>In this Part, the Commissioner has the functions of an authorised investigator.</w:t>
      </w:r>
    </w:p>
    <w:p>
      <w:pPr>
        <w:pStyle w:val="Heading5"/>
        <w:rPr>
          <w:snapToGrid w:val="0"/>
        </w:rPr>
      </w:pPr>
      <w:bookmarkStart w:id="151" w:name="_Toc469893050"/>
      <w:bookmarkStart w:id="152" w:name="_Toc527535607"/>
      <w:bookmarkStart w:id="153" w:name="_Toc530207231"/>
      <w:r>
        <w:rPr>
          <w:rStyle w:val="CharSectno"/>
        </w:rPr>
        <w:t>51</w:t>
      </w:r>
      <w:r>
        <w:rPr>
          <w:snapToGrid w:val="0"/>
        </w:rPr>
        <w:t>.</w:t>
      </w:r>
      <w:r>
        <w:rPr>
          <w:snapToGrid w:val="0"/>
        </w:rPr>
        <w:tab/>
        <w:t>Authorised investigations</w:t>
      </w:r>
      <w:bookmarkEnd w:id="151"/>
      <w:bookmarkEnd w:id="152"/>
      <w:bookmarkEnd w:id="153"/>
      <w:r>
        <w:rPr>
          <w:snapToGrid w:val="0"/>
        </w:rPr>
        <w:t xml:space="preserve"> </w:t>
      </w:r>
    </w:p>
    <w:p>
      <w:pPr>
        <w:pStyle w:val="Subsection"/>
        <w:rPr>
          <w:snapToGrid w:val="0"/>
        </w:rPr>
      </w:pPr>
      <w:r>
        <w:rPr>
          <w:snapToGrid w:val="0"/>
        </w:rPr>
        <w:tab/>
      </w:r>
      <w:r>
        <w:rPr>
          <w:snapToGrid w:val="0"/>
        </w:rPr>
        <w:tab/>
        <w:t>An authorised investigation is an investigation for the purposes of one or more of the following:</w:t>
      </w:r>
    </w:p>
    <w:p>
      <w:pPr>
        <w:pStyle w:val="Indenta"/>
        <w:rPr>
          <w:snapToGrid w:val="0"/>
        </w:rPr>
      </w:pPr>
      <w:r>
        <w:rPr>
          <w:snapToGrid w:val="0"/>
        </w:rPr>
        <w:tab/>
        <w:t>(a)</w:t>
      </w:r>
      <w:r>
        <w:rPr>
          <w:snapToGrid w:val="0"/>
        </w:rPr>
        <w:tab/>
        <w:t>ascertaining whether there has been any overpayment of a diesel subsidy;</w:t>
      </w:r>
    </w:p>
    <w:p>
      <w:pPr>
        <w:pStyle w:val="Indenta"/>
        <w:rPr>
          <w:snapToGrid w:val="0"/>
        </w:rPr>
      </w:pPr>
      <w:r>
        <w:rPr>
          <w:snapToGrid w:val="0"/>
        </w:rPr>
        <w:tab/>
        <w:t>(b)</w:t>
      </w:r>
      <w:r>
        <w:rPr>
          <w:snapToGrid w:val="0"/>
        </w:rPr>
        <w:tab/>
        <w:t>ascertaining whether a diesel subsidy has been paid when it should not have been;</w:t>
      </w:r>
    </w:p>
    <w:p>
      <w:pPr>
        <w:pStyle w:val="Indenta"/>
        <w:rPr>
          <w:snapToGrid w:val="0"/>
        </w:rPr>
      </w:pPr>
      <w:r>
        <w:rPr>
          <w:snapToGrid w:val="0"/>
        </w:rPr>
        <w:tab/>
        <w:t>(c)</w:t>
      </w:r>
      <w:r>
        <w:rPr>
          <w:snapToGrid w:val="0"/>
        </w:rPr>
        <w:tab/>
        <w:t>ascertaining whether a diesel subsidy has been paid to a person who was not entitled to it;</w:t>
      </w:r>
    </w:p>
    <w:p>
      <w:pPr>
        <w:pStyle w:val="Indenta"/>
        <w:rPr>
          <w:snapToGrid w:val="0"/>
        </w:rPr>
      </w:pPr>
      <w:r>
        <w:rPr>
          <w:snapToGrid w:val="0"/>
        </w:rPr>
        <w:tab/>
        <w:t>(d)</w:t>
      </w:r>
      <w:r>
        <w:rPr>
          <w:snapToGrid w:val="0"/>
        </w:rPr>
        <w:tab/>
        <w:t>ascertaining whether the holder of a permit has complied with the conditions of it;</w:t>
      </w:r>
    </w:p>
    <w:p>
      <w:pPr>
        <w:pStyle w:val="Indenta"/>
        <w:rPr>
          <w:snapToGrid w:val="0"/>
        </w:rPr>
      </w:pPr>
      <w:r>
        <w:rPr>
          <w:snapToGrid w:val="0"/>
        </w:rPr>
        <w:tab/>
        <w:t>(e)</w:t>
      </w:r>
      <w:r>
        <w:rPr>
          <w:snapToGrid w:val="0"/>
        </w:rPr>
        <w:tab/>
        <w:t>auditing any records required to be kept under this Act or relevant to any matter provided for by this Act;</w:t>
      </w:r>
    </w:p>
    <w:p>
      <w:pPr>
        <w:pStyle w:val="Indenta"/>
        <w:rPr>
          <w:snapToGrid w:val="0"/>
        </w:rPr>
      </w:pPr>
      <w:r>
        <w:rPr>
          <w:snapToGrid w:val="0"/>
        </w:rPr>
        <w:tab/>
        <w:t>(f)</w:t>
      </w:r>
      <w:r>
        <w:rPr>
          <w:snapToGrid w:val="0"/>
        </w:rPr>
        <w:tab/>
        <w:t>gathering evidence of any contravention of this Act;</w:t>
      </w:r>
    </w:p>
    <w:p>
      <w:pPr>
        <w:pStyle w:val="Indenta"/>
        <w:rPr>
          <w:snapToGrid w:val="0"/>
        </w:rPr>
      </w:pPr>
      <w:r>
        <w:rPr>
          <w:snapToGrid w:val="0"/>
        </w:rPr>
        <w:tab/>
        <w:t>(g)</w:t>
      </w:r>
      <w:r>
        <w:rPr>
          <w:snapToGrid w:val="0"/>
        </w:rPr>
        <w:tab/>
        <w:t>any other matter relevant to the administration of this Act.</w:t>
      </w:r>
    </w:p>
    <w:p>
      <w:pPr>
        <w:pStyle w:val="Heading5"/>
        <w:rPr>
          <w:snapToGrid w:val="0"/>
        </w:rPr>
      </w:pPr>
      <w:bookmarkStart w:id="154" w:name="_Toc469893051"/>
      <w:bookmarkStart w:id="155" w:name="_Toc527535608"/>
      <w:bookmarkStart w:id="156" w:name="_Toc530207232"/>
      <w:r>
        <w:rPr>
          <w:rStyle w:val="CharSectno"/>
        </w:rPr>
        <w:t>52</w:t>
      </w:r>
      <w:r>
        <w:rPr>
          <w:snapToGrid w:val="0"/>
        </w:rPr>
        <w:t>.</w:t>
      </w:r>
      <w:r>
        <w:rPr>
          <w:snapToGrid w:val="0"/>
        </w:rPr>
        <w:tab/>
        <w:t>Power to appoint authorised investigators</w:t>
      </w:r>
      <w:bookmarkEnd w:id="154"/>
      <w:bookmarkEnd w:id="155"/>
      <w:bookmarkEnd w:id="156"/>
      <w:r>
        <w:rPr>
          <w:snapToGrid w:val="0"/>
        </w:rPr>
        <w:t xml:space="preserve"> </w:t>
      </w:r>
    </w:p>
    <w:p>
      <w:pPr>
        <w:pStyle w:val="Subsection"/>
        <w:rPr>
          <w:snapToGrid w:val="0"/>
        </w:rPr>
      </w:pPr>
      <w:r>
        <w:rPr>
          <w:snapToGrid w:val="0"/>
        </w:rPr>
        <w:tab/>
        <w:t>(1)</w:t>
      </w:r>
      <w:r>
        <w:rPr>
          <w:snapToGrid w:val="0"/>
        </w:rPr>
        <w:tab/>
        <w:t>The Commissioner may appoint any person to be an authorised investigator.</w:t>
      </w:r>
    </w:p>
    <w:p>
      <w:pPr>
        <w:pStyle w:val="Subsection"/>
        <w:rPr>
          <w:snapToGrid w:val="0"/>
        </w:rPr>
      </w:pPr>
      <w:r>
        <w:rPr>
          <w:snapToGrid w:val="0"/>
        </w:rPr>
        <w:tab/>
        <w:t>(2)</w:t>
      </w:r>
      <w:r>
        <w:rPr>
          <w:snapToGrid w:val="0"/>
        </w:rPr>
        <w:tab/>
        <w:t>The Commissioner must issue an authorised investigator with an identity card which is to include a photograph of the investigator.</w:t>
      </w:r>
    </w:p>
    <w:p>
      <w:pPr>
        <w:pStyle w:val="Subsection"/>
        <w:rPr>
          <w:snapToGrid w:val="0"/>
        </w:rPr>
      </w:pPr>
      <w:r>
        <w:rPr>
          <w:snapToGrid w:val="0"/>
        </w:rPr>
        <w:tab/>
        <w:t>(3)</w:t>
      </w:r>
      <w:r>
        <w:rPr>
          <w:snapToGrid w:val="0"/>
        </w:rPr>
        <w:tab/>
        <w:t>On ceasing to be appointed as an authorised investigator, the investigator must immediately return the identity card to the Commissioner.</w:t>
      </w:r>
    </w:p>
    <w:p>
      <w:pPr>
        <w:pStyle w:val="Penstart"/>
        <w:rPr>
          <w:snapToGrid w:val="0"/>
        </w:rPr>
      </w:pPr>
      <w:r>
        <w:rPr>
          <w:snapToGrid w:val="0"/>
        </w:rPr>
        <w:tab/>
        <w:t>Penalty: $1 000.</w:t>
      </w:r>
    </w:p>
    <w:p>
      <w:pPr>
        <w:pStyle w:val="Heading5"/>
        <w:rPr>
          <w:snapToGrid w:val="0"/>
        </w:rPr>
      </w:pPr>
      <w:bookmarkStart w:id="157" w:name="_Toc469893052"/>
      <w:bookmarkStart w:id="158" w:name="_Toc527535609"/>
      <w:bookmarkStart w:id="159" w:name="_Toc530207233"/>
      <w:r>
        <w:rPr>
          <w:rStyle w:val="CharSectno"/>
        </w:rPr>
        <w:t>53</w:t>
      </w:r>
      <w:r>
        <w:rPr>
          <w:snapToGrid w:val="0"/>
        </w:rPr>
        <w:t>.</w:t>
      </w:r>
      <w:r>
        <w:rPr>
          <w:snapToGrid w:val="0"/>
        </w:rPr>
        <w:tab/>
        <w:t>Power to require information and production of records</w:t>
      </w:r>
      <w:bookmarkEnd w:id="157"/>
      <w:bookmarkEnd w:id="158"/>
      <w:bookmarkEnd w:id="159"/>
      <w:r>
        <w:rPr>
          <w:snapToGrid w:val="0"/>
        </w:rPr>
        <w:t xml:space="preserve"> </w:t>
      </w:r>
    </w:p>
    <w:p>
      <w:pPr>
        <w:pStyle w:val="Subsection"/>
        <w:rPr>
          <w:snapToGrid w:val="0"/>
        </w:rPr>
      </w:pPr>
      <w:r>
        <w:rPr>
          <w:snapToGrid w:val="0"/>
        </w:rPr>
        <w:tab/>
        <w:t>(1)</w:t>
      </w:r>
      <w:r>
        <w:rPr>
          <w:snapToGrid w:val="0"/>
        </w:rPr>
        <w:tab/>
        <w:t>For the purposes of an authorised investigation, the Commissioner may require a person — </w:t>
      </w:r>
    </w:p>
    <w:p>
      <w:pPr>
        <w:pStyle w:val="Indenta"/>
        <w:rPr>
          <w:snapToGrid w:val="0"/>
        </w:rPr>
      </w:pPr>
      <w:r>
        <w:rPr>
          <w:snapToGrid w:val="0"/>
        </w:rPr>
        <w:tab/>
        <w:t>(a)</w:t>
      </w:r>
      <w:r>
        <w:rPr>
          <w:snapToGrid w:val="0"/>
        </w:rPr>
        <w:tab/>
        <w:t>to provide the Commissioner with written answers to specified questions;</w:t>
      </w:r>
    </w:p>
    <w:p>
      <w:pPr>
        <w:pStyle w:val="Indenta"/>
        <w:rPr>
          <w:snapToGrid w:val="0"/>
        </w:rPr>
      </w:pPr>
      <w:r>
        <w:rPr>
          <w:snapToGrid w:val="0"/>
        </w:rPr>
        <w:tab/>
        <w:t>(b)</w:t>
      </w:r>
      <w:r>
        <w:rPr>
          <w:snapToGrid w:val="0"/>
        </w:rPr>
        <w:tab/>
        <w:t>to produce to the Commissioner specified relevant material or relevant material of a specified class, in the person’s possession, custody or power.</w:t>
      </w:r>
    </w:p>
    <w:p>
      <w:pPr>
        <w:pStyle w:val="Subsection"/>
        <w:rPr>
          <w:snapToGrid w:val="0"/>
        </w:rPr>
      </w:pPr>
      <w:r>
        <w:rPr>
          <w:snapToGrid w:val="0"/>
        </w:rPr>
        <w:tab/>
        <w:t>(2)</w:t>
      </w:r>
      <w:r>
        <w:rPr>
          <w:snapToGrid w:val="0"/>
        </w:rPr>
        <w:tab/>
        <w:t>A requirement made under this section — </w:t>
      </w:r>
    </w:p>
    <w:p>
      <w:pPr>
        <w:pStyle w:val="Indenta"/>
        <w:rPr>
          <w:snapToGrid w:val="0"/>
        </w:rPr>
      </w:pPr>
      <w:r>
        <w:rPr>
          <w:snapToGrid w:val="0"/>
        </w:rPr>
        <w:tab/>
        <w:t>(a)</w:t>
      </w:r>
      <w:r>
        <w:rPr>
          <w:snapToGrid w:val="0"/>
        </w:rPr>
        <w:tab/>
        <w:t>may be made whether or not the person to whom the requirement is addressed is the holder of a permit; and</w:t>
      </w:r>
    </w:p>
    <w:p>
      <w:pPr>
        <w:pStyle w:val="Indenta"/>
        <w:rPr>
          <w:snapToGrid w:val="0"/>
        </w:rPr>
      </w:pPr>
      <w:r>
        <w:rPr>
          <w:snapToGrid w:val="0"/>
        </w:rPr>
        <w:tab/>
        <w:t>(b)</w:t>
      </w:r>
      <w:r>
        <w:rPr>
          <w:snapToGrid w:val="0"/>
        </w:rPr>
        <w:tab/>
        <w:t>is to be made by notice in writing given to the person to whom the requirement is addressed.</w:t>
      </w:r>
    </w:p>
    <w:p>
      <w:pPr>
        <w:pStyle w:val="Subsection"/>
        <w:rPr>
          <w:snapToGrid w:val="0"/>
        </w:rPr>
      </w:pPr>
      <w:r>
        <w:rPr>
          <w:snapToGrid w:val="0"/>
        </w:rPr>
        <w:tab/>
        <w:t>(3)</w:t>
      </w:r>
      <w:r>
        <w:rPr>
          <w:snapToGrid w:val="0"/>
        </w:rPr>
        <w:tab/>
        <w:t>A person required, by notice under this section, to provide answers to questions must, if the notice so requires, verify the answers by statutory declaration.</w:t>
      </w:r>
    </w:p>
    <w:p>
      <w:pPr>
        <w:pStyle w:val="Subsection"/>
        <w:rPr>
          <w:snapToGrid w:val="0"/>
        </w:rPr>
      </w:pPr>
      <w:r>
        <w:rPr>
          <w:snapToGrid w:val="0"/>
        </w:rPr>
        <w:tab/>
        <w:t>(4)</w:t>
      </w:r>
      <w:r>
        <w:rPr>
          <w:snapToGrid w:val="0"/>
        </w:rPr>
        <w:tab/>
        <w:t>A person who does not comply with a requirement of a notice under this section within the time specified in the notice (or any further time the Commissioner, in the exercise of an absolute discretion, allows) commits an offence.</w:t>
      </w:r>
    </w:p>
    <w:p>
      <w:pPr>
        <w:pStyle w:val="Heading5"/>
        <w:rPr>
          <w:snapToGrid w:val="0"/>
        </w:rPr>
      </w:pPr>
      <w:bookmarkStart w:id="160" w:name="_Toc469893053"/>
      <w:bookmarkStart w:id="161" w:name="_Toc527535610"/>
      <w:bookmarkStart w:id="162" w:name="_Toc530207234"/>
      <w:r>
        <w:rPr>
          <w:rStyle w:val="CharSectno"/>
        </w:rPr>
        <w:t>54</w:t>
      </w:r>
      <w:r>
        <w:rPr>
          <w:snapToGrid w:val="0"/>
        </w:rPr>
        <w:t>.</w:t>
      </w:r>
      <w:r>
        <w:rPr>
          <w:snapToGrid w:val="0"/>
        </w:rPr>
        <w:tab/>
        <w:t>Power to require person to attend for examination</w:t>
      </w:r>
      <w:bookmarkEnd w:id="160"/>
      <w:bookmarkEnd w:id="161"/>
      <w:bookmarkEnd w:id="162"/>
      <w:r>
        <w:rPr>
          <w:snapToGrid w:val="0"/>
        </w:rPr>
        <w:t xml:space="preserve"> </w:t>
      </w:r>
    </w:p>
    <w:p>
      <w:pPr>
        <w:pStyle w:val="Subsection"/>
        <w:rPr>
          <w:snapToGrid w:val="0"/>
        </w:rPr>
      </w:pPr>
      <w:r>
        <w:rPr>
          <w:snapToGrid w:val="0"/>
        </w:rPr>
        <w:tab/>
        <w:t>(1)</w:t>
      </w:r>
      <w:r>
        <w:rPr>
          <w:snapToGrid w:val="0"/>
        </w:rPr>
        <w:tab/>
        <w:t>For the purposes of an authorised investigation, the Commissioner may require a person to attend at a specified time and place before an authorised investigator for examination on a subject specified in the notice.</w:t>
      </w:r>
    </w:p>
    <w:p>
      <w:pPr>
        <w:pStyle w:val="Subsection"/>
        <w:rPr>
          <w:snapToGrid w:val="0"/>
        </w:rPr>
      </w:pPr>
      <w:r>
        <w:rPr>
          <w:snapToGrid w:val="0"/>
        </w:rPr>
        <w:tab/>
        <w:t>(2)</w:t>
      </w:r>
      <w:r>
        <w:rPr>
          <w:snapToGrid w:val="0"/>
        </w:rPr>
        <w:tab/>
        <w:t>A requirement made under this section — </w:t>
      </w:r>
    </w:p>
    <w:p>
      <w:pPr>
        <w:pStyle w:val="Indenta"/>
        <w:rPr>
          <w:snapToGrid w:val="0"/>
        </w:rPr>
      </w:pPr>
      <w:r>
        <w:rPr>
          <w:snapToGrid w:val="0"/>
        </w:rPr>
        <w:tab/>
        <w:t>(a)</w:t>
      </w:r>
      <w:r>
        <w:rPr>
          <w:snapToGrid w:val="0"/>
        </w:rPr>
        <w:tab/>
        <w:t>may be made whether or not the person to whom it is addressed is the holder of a permit; and</w:t>
      </w:r>
    </w:p>
    <w:p>
      <w:pPr>
        <w:pStyle w:val="Indenta"/>
        <w:rPr>
          <w:snapToGrid w:val="0"/>
        </w:rPr>
      </w:pPr>
      <w:r>
        <w:rPr>
          <w:snapToGrid w:val="0"/>
        </w:rPr>
        <w:tab/>
        <w:t>(b)</w:t>
      </w:r>
      <w:r>
        <w:rPr>
          <w:snapToGrid w:val="0"/>
        </w:rPr>
        <w:tab/>
        <w:t>is to be made by notice in writing given to the person to whom it is addressed.</w:t>
      </w:r>
    </w:p>
    <w:p>
      <w:pPr>
        <w:pStyle w:val="Subsection"/>
        <w:rPr>
          <w:snapToGrid w:val="0"/>
        </w:rPr>
      </w:pPr>
      <w:r>
        <w:rPr>
          <w:snapToGrid w:val="0"/>
        </w:rPr>
        <w:tab/>
        <w:t>(3)</w:t>
      </w:r>
      <w:r>
        <w:rPr>
          <w:snapToGrid w:val="0"/>
        </w:rPr>
        <w:tab/>
        <w:t>A notice requiring a person to attend for examination may require the person to bring and produce to the authorised investigator conducting the examination any relevant material in the person’s possession, custody or power relating to the subject of the examination.</w:t>
      </w:r>
    </w:p>
    <w:p>
      <w:pPr>
        <w:pStyle w:val="Subsection"/>
        <w:rPr>
          <w:snapToGrid w:val="0"/>
        </w:rPr>
      </w:pPr>
      <w:r>
        <w:rPr>
          <w:snapToGrid w:val="0"/>
        </w:rPr>
        <w:tab/>
        <w:t>(4)</w:t>
      </w:r>
      <w:r>
        <w:rPr>
          <w:snapToGrid w:val="0"/>
        </w:rPr>
        <w:tab/>
        <w:t>An authorised investigator conducting an examination may require a person attending for examination — </w:t>
      </w:r>
    </w:p>
    <w:p>
      <w:pPr>
        <w:pStyle w:val="Indenta"/>
        <w:rPr>
          <w:snapToGrid w:val="0"/>
        </w:rPr>
      </w:pPr>
      <w:r>
        <w:rPr>
          <w:snapToGrid w:val="0"/>
        </w:rPr>
        <w:tab/>
        <w:t>(a)</w:t>
      </w:r>
      <w:r>
        <w:rPr>
          <w:snapToGrid w:val="0"/>
        </w:rPr>
        <w:tab/>
        <w:t>to take an oath to answer all questions truthfully and may administer the oath;</w:t>
      </w:r>
    </w:p>
    <w:p>
      <w:pPr>
        <w:pStyle w:val="Indenta"/>
        <w:rPr>
          <w:snapToGrid w:val="0"/>
        </w:rPr>
      </w:pPr>
      <w:r>
        <w:rPr>
          <w:snapToGrid w:val="0"/>
        </w:rPr>
        <w:tab/>
        <w:t>(b)</w:t>
      </w:r>
      <w:r>
        <w:rPr>
          <w:snapToGrid w:val="0"/>
        </w:rPr>
        <w:tab/>
        <w:t>to answer a question relevant to the subject matter of the examination asked by the investigator or, with the consent of the investigator, by another person present at the examination; and</w:t>
      </w:r>
    </w:p>
    <w:p>
      <w:pPr>
        <w:pStyle w:val="Indenta"/>
        <w:rPr>
          <w:snapToGrid w:val="0"/>
        </w:rPr>
      </w:pPr>
      <w:r>
        <w:rPr>
          <w:snapToGrid w:val="0"/>
        </w:rPr>
        <w:tab/>
        <w:t>(c)</w:t>
      </w:r>
      <w:r>
        <w:rPr>
          <w:snapToGrid w:val="0"/>
        </w:rPr>
        <w:tab/>
        <w:t>to produce for examination by the investigator any relevant material in the person’s possession at the examination.</w:t>
      </w:r>
    </w:p>
    <w:p>
      <w:pPr>
        <w:pStyle w:val="Subsection"/>
        <w:rPr>
          <w:snapToGrid w:val="0"/>
        </w:rPr>
      </w:pPr>
      <w:r>
        <w:rPr>
          <w:snapToGrid w:val="0"/>
        </w:rPr>
        <w:tab/>
        <w:t>(5)</w:t>
      </w:r>
      <w:r>
        <w:rPr>
          <w:snapToGrid w:val="0"/>
        </w:rPr>
        <w:tab/>
        <w:t>A person who contravenes a requirement under this section commits an offence.</w:t>
      </w:r>
    </w:p>
    <w:p>
      <w:pPr>
        <w:pStyle w:val="Subsection"/>
        <w:rPr>
          <w:snapToGrid w:val="0"/>
        </w:rPr>
      </w:pPr>
      <w:r>
        <w:rPr>
          <w:snapToGrid w:val="0"/>
        </w:rPr>
        <w:tab/>
        <w:t>(6)</w:t>
      </w:r>
      <w:r>
        <w:rPr>
          <w:snapToGrid w:val="0"/>
        </w:rPr>
        <w:tab/>
        <w:t>The regulations may prescribe scales of expenses to be allowed to persons required under this section to attend.</w:t>
      </w:r>
    </w:p>
    <w:p>
      <w:pPr>
        <w:pStyle w:val="Heading5"/>
        <w:rPr>
          <w:snapToGrid w:val="0"/>
        </w:rPr>
      </w:pPr>
      <w:bookmarkStart w:id="163" w:name="_Toc469893054"/>
      <w:bookmarkStart w:id="164" w:name="_Toc527535611"/>
      <w:bookmarkStart w:id="165" w:name="_Toc530207235"/>
      <w:r>
        <w:rPr>
          <w:rStyle w:val="CharSectno"/>
        </w:rPr>
        <w:t>55</w:t>
      </w:r>
      <w:r>
        <w:rPr>
          <w:snapToGrid w:val="0"/>
        </w:rPr>
        <w:t>.</w:t>
      </w:r>
      <w:r>
        <w:rPr>
          <w:snapToGrid w:val="0"/>
        </w:rPr>
        <w:tab/>
        <w:t>Power to enter premises</w:t>
      </w:r>
      <w:bookmarkEnd w:id="163"/>
      <w:bookmarkEnd w:id="164"/>
      <w:bookmarkEnd w:id="165"/>
      <w:r>
        <w:rPr>
          <w:snapToGrid w:val="0"/>
        </w:rPr>
        <w:t xml:space="preserve"> </w:t>
      </w:r>
    </w:p>
    <w:p>
      <w:pPr>
        <w:pStyle w:val="Subsection"/>
        <w:rPr>
          <w:snapToGrid w:val="0"/>
        </w:rPr>
      </w:pPr>
      <w:r>
        <w:rPr>
          <w:snapToGrid w:val="0"/>
        </w:rPr>
        <w:tab/>
        <w:t>(1)</w:t>
      </w:r>
      <w:r>
        <w:rPr>
          <w:snapToGrid w:val="0"/>
        </w:rPr>
        <w:tab/>
        <w:t>For the purposes of an authorised investigation, an authorised investigator — </w:t>
      </w:r>
    </w:p>
    <w:p>
      <w:pPr>
        <w:pStyle w:val="Indenta"/>
        <w:rPr>
          <w:snapToGrid w:val="0"/>
        </w:rPr>
      </w:pPr>
      <w:r>
        <w:rPr>
          <w:snapToGrid w:val="0"/>
        </w:rPr>
        <w:tab/>
        <w:t>(a)</w:t>
      </w:r>
      <w:r>
        <w:rPr>
          <w:snapToGrid w:val="0"/>
        </w:rPr>
        <w:tab/>
        <w:t>may enter and remain on premises to exercise the powers of investigation in section 57; and</w:t>
      </w:r>
    </w:p>
    <w:p>
      <w:pPr>
        <w:pStyle w:val="Indenta"/>
        <w:rPr>
          <w:snapToGrid w:val="0"/>
        </w:rPr>
      </w:pPr>
      <w:r>
        <w:rPr>
          <w:snapToGrid w:val="0"/>
        </w:rPr>
        <w:tab/>
        <w:t>(b)</w:t>
      </w:r>
      <w:r>
        <w:rPr>
          <w:snapToGrid w:val="0"/>
        </w:rPr>
        <w:tab/>
        <w:t>may stop and detain a vehicle and give reasonable directions as to the movement of it.</w:t>
      </w:r>
    </w:p>
    <w:p>
      <w:pPr>
        <w:pStyle w:val="Subsection"/>
        <w:rPr>
          <w:snapToGrid w:val="0"/>
        </w:rPr>
      </w:pPr>
      <w:r>
        <w:rPr>
          <w:snapToGrid w:val="0"/>
        </w:rPr>
        <w:tab/>
        <w:t>(2)</w:t>
      </w:r>
      <w:r>
        <w:rPr>
          <w:snapToGrid w:val="0"/>
        </w:rPr>
        <w:tab/>
        <w:t>The authorised investigator may only enter residential premises as follows — </w:t>
      </w:r>
    </w:p>
    <w:p>
      <w:pPr>
        <w:pStyle w:val="Indenta"/>
        <w:rPr>
          <w:snapToGrid w:val="0"/>
        </w:rPr>
      </w:pPr>
      <w:r>
        <w:rPr>
          <w:snapToGrid w:val="0"/>
        </w:rPr>
        <w:tab/>
        <w:t>(a)</w:t>
      </w:r>
      <w:r>
        <w:rPr>
          <w:snapToGrid w:val="0"/>
        </w:rPr>
        <w:tab/>
        <w:t>the investigator may enter the premises at any reasonable time with the consent of the occupier of them;</w:t>
      </w:r>
    </w:p>
    <w:p>
      <w:pPr>
        <w:pStyle w:val="Indenta"/>
        <w:rPr>
          <w:snapToGrid w:val="0"/>
        </w:rPr>
      </w:pPr>
      <w:r>
        <w:rPr>
          <w:snapToGrid w:val="0"/>
        </w:rPr>
        <w:tab/>
        <w:t>(b)</w:t>
      </w:r>
      <w:r>
        <w:rPr>
          <w:snapToGrid w:val="0"/>
        </w:rPr>
        <w:tab/>
        <w:t>the investigator may enter the premises under the authority of a search warrant issued under section 56; or</w:t>
      </w:r>
    </w:p>
    <w:p>
      <w:pPr>
        <w:pStyle w:val="Indenta"/>
        <w:rPr>
          <w:snapToGrid w:val="0"/>
        </w:rPr>
      </w:pPr>
      <w:r>
        <w:rPr>
          <w:snapToGrid w:val="0"/>
        </w:rPr>
        <w:tab/>
        <w:t>(c)</w:t>
      </w:r>
      <w:r>
        <w:rPr>
          <w:snapToGrid w:val="0"/>
        </w:rPr>
        <w:tab/>
        <w:t>if the investigator believes, on reasonable grounds, that it is urgently necessary to do so in order to prevent the destruction of or interference with relevant material, he or she may enter the premises at any time without the consent of the occupier and without a warrant.</w:t>
      </w:r>
    </w:p>
    <w:p>
      <w:pPr>
        <w:pStyle w:val="Subsection"/>
        <w:rPr>
          <w:snapToGrid w:val="0"/>
        </w:rPr>
      </w:pPr>
      <w:r>
        <w:rPr>
          <w:snapToGrid w:val="0"/>
        </w:rPr>
        <w:tab/>
        <w:t>(3)</w:t>
      </w:r>
      <w:r>
        <w:rPr>
          <w:snapToGrid w:val="0"/>
        </w:rPr>
        <w:tab/>
        <w:t>The authorised investigator must not exercise the power in subsection (2)(c) unless the Commissioner in the particular case has authorised the investigator to do so.</w:t>
      </w:r>
    </w:p>
    <w:p>
      <w:pPr>
        <w:pStyle w:val="Subsection"/>
        <w:rPr>
          <w:snapToGrid w:val="0"/>
        </w:rPr>
      </w:pPr>
      <w:r>
        <w:rPr>
          <w:snapToGrid w:val="0"/>
        </w:rPr>
        <w:tab/>
        <w:t>(4)</w:t>
      </w:r>
      <w:r>
        <w:rPr>
          <w:snapToGrid w:val="0"/>
        </w:rPr>
        <w:tab/>
        <w:t>The authorised investigator must, at the reasonable request of a person apparently in charge of the premises or any other person on the premises, display the investigator’s identity card.</w:t>
      </w:r>
    </w:p>
    <w:p>
      <w:pPr>
        <w:pStyle w:val="Heading5"/>
        <w:rPr>
          <w:snapToGrid w:val="0"/>
        </w:rPr>
      </w:pPr>
      <w:bookmarkStart w:id="166" w:name="_Toc469893055"/>
      <w:bookmarkStart w:id="167" w:name="_Toc527535612"/>
      <w:bookmarkStart w:id="168" w:name="_Toc530207236"/>
      <w:r>
        <w:rPr>
          <w:rStyle w:val="CharSectno"/>
        </w:rPr>
        <w:t>56</w:t>
      </w:r>
      <w:r>
        <w:rPr>
          <w:snapToGrid w:val="0"/>
        </w:rPr>
        <w:t>.</w:t>
      </w:r>
      <w:r>
        <w:rPr>
          <w:snapToGrid w:val="0"/>
        </w:rPr>
        <w:tab/>
        <w:t>Search warrants</w:t>
      </w:r>
      <w:bookmarkEnd w:id="166"/>
      <w:bookmarkEnd w:id="167"/>
      <w:bookmarkEnd w:id="168"/>
      <w:r>
        <w:rPr>
          <w:snapToGrid w:val="0"/>
        </w:rPr>
        <w:t xml:space="preserve"> </w:t>
      </w:r>
    </w:p>
    <w:p>
      <w:pPr>
        <w:pStyle w:val="Subsection"/>
        <w:rPr>
          <w:snapToGrid w:val="0"/>
        </w:rPr>
      </w:pPr>
      <w:r>
        <w:rPr>
          <w:snapToGrid w:val="0"/>
        </w:rPr>
        <w:tab/>
        <w:t>(1)</w:t>
      </w:r>
      <w:r>
        <w:rPr>
          <w:snapToGrid w:val="0"/>
        </w:rPr>
        <w:tab/>
        <w:t>For the purposes of an authorised investigation, an authorised investigator may apply to a justice for a search warrant.</w:t>
      </w:r>
    </w:p>
    <w:p>
      <w:pPr>
        <w:pStyle w:val="Subsection"/>
        <w:rPr>
          <w:snapToGrid w:val="0"/>
        </w:rPr>
      </w:pPr>
      <w:r>
        <w:rPr>
          <w:snapToGrid w:val="0"/>
        </w:rPr>
        <w:tab/>
        <w:t>(2)</w:t>
      </w:r>
      <w:r>
        <w:rPr>
          <w:snapToGrid w:val="0"/>
        </w:rPr>
        <w:tab/>
        <w:t>If a justice is satisfied by evidence on oath that there are reasonable grounds to suspect that there may be relevant material on any premises the justice may issue a search warrant to an authorised investigator.</w:t>
      </w:r>
    </w:p>
    <w:p>
      <w:pPr>
        <w:pStyle w:val="Subsection"/>
        <w:rPr>
          <w:snapToGrid w:val="0"/>
        </w:rPr>
      </w:pPr>
      <w:r>
        <w:rPr>
          <w:snapToGrid w:val="0"/>
        </w:rPr>
        <w:tab/>
        <w:t>(3)</w:t>
      </w:r>
      <w:r>
        <w:rPr>
          <w:snapToGrid w:val="0"/>
        </w:rPr>
        <w:tab/>
        <w:t>A search warrant authorises an authorised investigator — </w:t>
      </w:r>
    </w:p>
    <w:p>
      <w:pPr>
        <w:pStyle w:val="Indenta"/>
        <w:rPr>
          <w:snapToGrid w:val="0"/>
        </w:rPr>
      </w:pPr>
      <w:r>
        <w:rPr>
          <w:snapToGrid w:val="0"/>
        </w:rPr>
        <w:tab/>
        <w:t>(a)</w:t>
      </w:r>
      <w:r>
        <w:rPr>
          <w:snapToGrid w:val="0"/>
        </w:rPr>
        <w:tab/>
        <w:t>to enter the premises specified in the warrant at the time or within the period specified in the warrant; and</w:t>
      </w:r>
    </w:p>
    <w:p>
      <w:pPr>
        <w:pStyle w:val="Indenta"/>
        <w:rPr>
          <w:snapToGrid w:val="0"/>
        </w:rPr>
      </w:pPr>
      <w:r>
        <w:rPr>
          <w:snapToGrid w:val="0"/>
        </w:rPr>
        <w:tab/>
        <w:t>(b)</w:t>
      </w:r>
      <w:r>
        <w:rPr>
          <w:snapToGrid w:val="0"/>
        </w:rPr>
        <w:tab/>
        <w:t>to exercise the powers in section 57.</w:t>
      </w:r>
    </w:p>
    <w:p>
      <w:pPr>
        <w:pStyle w:val="Subsection"/>
        <w:rPr>
          <w:snapToGrid w:val="0"/>
        </w:rPr>
      </w:pPr>
      <w:r>
        <w:rPr>
          <w:snapToGrid w:val="0"/>
        </w:rPr>
        <w:tab/>
        <w:t>(4)</w:t>
      </w:r>
      <w:r>
        <w:rPr>
          <w:snapToGrid w:val="0"/>
        </w:rPr>
        <w:tab/>
        <w:t>A search warrant may be executed by the authorised investigator to whom it was issued or by any other authorised investigator.</w:t>
      </w:r>
    </w:p>
    <w:p>
      <w:pPr>
        <w:pStyle w:val="Subsection"/>
        <w:rPr>
          <w:snapToGrid w:val="0"/>
        </w:rPr>
      </w:pPr>
      <w:r>
        <w:rPr>
          <w:snapToGrid w:val="0"/>
        </w:rPr>
        <w:tab/>
        <w:t>(5)</w:t>
      </w:r>
      <w:r>
        <w:rPr>
          <w:snapToGrid w:val="0"/>
        </w:rPr>
        <w:tab/>
        <w:t>An authorised investigator executing a warrant must, at the reasonable request of a person apparently in charge of the premises or any other person on the premises, display the warrant.</w:t>
      </w:r>
    </w:p>
    <w:p>
      <w:pPr>
        <w:pStyle w:val="Heading5"/>
        <w:rPr>
          <w:snapToGrid w:val="0"/>
        </w:rPr>
      </w:pPr>
      <w:bookmarkStart w:id="169" w:name="_Toc469893056"/>
      <w:bookmarkStart w:id="170" w:name="_Toc527535613"/>
      <w:bookmarkStart w:id="171" w:name="_Toc530207237"/>
      <w:r>
        <w:rPr>
          <w:rStyle w:val="CharSectno"/>
        </w:rPr>
        <w:t>57</w:t>
      </w:r>
      <w:r>
        <w:rPr>
          <w:snapToGrid w:val="0"/>
        </w:rPr>
        <w:t>.</w:t>
      </w:r>
      <w:r>
        <w:rPr>
          <w:snapToGrid w:val="0"/>
        </w:rPr>
        <w:tab/>
        <w:t>Powers of authorised investigators while on premises</w:t>
      </w:r>
      <w:bookmarkEnd w:id="169"/>
      <w:bookmarkEnd w:id="170"/>
      <w:bookmarkEnd w:id="171"/>
      <w:r>
        <w:rPr>
          <w:snapToGrid w:val="0"/>
        </w:rPr>
        <w:t xml:space="preserve"> </w:t>
      </w:r>
    </w:p>
    <w:p>
      <w:pPr>
        <w:pStyle w:val="Subsection"/>
        <w:rPr>
          <w:snapToGrid w:val="0"/>
        </w:rPr>
      </w:pPr>
      <w:r>
        <w:rPr>
          <w:snapToGrid w:val="0"/>
        </w:rPr>
        <w:tab/>
        <w:t>(1)</w:t>
      </w:r>
      <w:r>
        <w:rPr>
          <w:snapToGrid w:val="0"/>
        </w:rPr>
        <w:tab/>
        <w:t>An authorised investigator who enters premises under section 55 or under a warrant issued under section 56 may exercise any one or more of these powers:</w:t>
      </w:r>
    </w:p>
    <w:p>
      <w:pPr>
        <w:pStyle w:val="Indenta"/>
        <w:rPr>
          <w:snapToGrid w:val="0"/>
        </w:rPr>
      </w:pPr>
      <w:r>
        <w:rPr>
          <w:snapToGrid w:val="0"/>
        </w:rPr>
        <w:tab/>
        <w:t>(a)</w:t>
      </w:r>
      <w:r>
        <w:rPr>
          <w:snapToGrid w:val="0"/>
        </w:rPr>
        <w:tab/>
        <w:t>search the premises and examine anything on the premises;</w:t>
      </w:r>
    </w:p>
    <w:p>
      <w:pPr>
        <w:pStyle w:val="Indenta"/>
        <w:rPr>
          <w:snapToGrid w:val="0"/>
        </w:rPr>
      </w:pPr>
      <w:r>
        <w:rPr>
          <w:snapToGrid w:val="0"/>
        </w:rPr>
        <w:tab/>
        <w:t>(b)</w:t>
      </w:r>
      <w:r>
        <w:rPr>
          <w:snapToGrid w:val="0"/>
        </w:rPr>
        <w:tab/>
        <w:t>break into any room or container on the premises in order to search it;</w:t>
      </w:r>
    </w:p>
    <w:p>
      <w:pPr>
        <w:pStyle w:val="Indenta"/>
        <w:rPr>
          <w:snapToGrid w:val="0"/>
        </w:rPr>
      </w:pPr>
      <w:r>
        <w:rPr>
          <w:snapToGrid w:val="0"/>
        </w:rPr>
        <w:tab/>
        <w:t>(c)</w:t>
      </w:r>
      <w:r>
        <w:rPr>
          <w:snapToGrid w:val="0"/>
        </w:rPr>
        <w:tab/>
        <w:t>operate equipment or facilities on the premises for a purpose relevant to the authorised investigation;</w:t>
      </w:r>
    </w:p>
    <w:p>
      <w:pPr>
        <w:pStyle w:val="Indenta"/>
        <w:rPr>
          <w:snapToGrid w:val="0"/>
        </w:rPr>
      </w:pPr>
      <w:r>
        <w:rPr>
          <w:snapToGrid w:val="0"/>
        </w:rPr>
        <w:tab/>
        <w:t>(d)</w:t>
      </w:r>
      <w:r>
        <w:rPr>
          <w:snapToGrid w:val="0"/>
        </w:rPr>
        <w:tab/>
        <w:t>take possession of any relevant material and retain it for as long as may be necessary — </w:t>
      </w:r>
    </w:p>
    <w:p>
      <w:pPr>
        <w:pStyle w:val="Indenti"/>
        <w:rPr>
          <w:snapToGrid w:val="0"/>
        </w:rPr>
      </w:pPr>
      <w:r>
        <w:rPr>
          <w:snapToGrid w:val="0"/>
        </w:rPr>
        <w:tab/>
        <w:t>(i)</w:t>
      </w:r>
      <w:r>
        <w:rPr>
          <w:snapToGrid w:val="0"/>
        </w:rPr>
        <w:tab/>
        <w:t>to examine it to determine its evidentiary value;</w:t>
      </w:r>
    </w:p>
    <w:p>
      <w:pPr>
        <w:pStyle w:val="Indenti"/>
        <w:rPr>
          <w:snapToGrid w:val="0"/>
        </w:rPr>
      </w:pPr>
      <w:r>
        <w:rPr>
          <w:snapToGrid w:val="0"/>
        </w:rPr>
        <w:tab/>
        <w:t>(ii)</w:t>
      </w:r>
      <w:r>
        <w:rPr>
          <w:snapToGrid w:val="0"/>
        </w:rPr>
        <w:tab/>
        <w:t>to copy it; or</w:t>
      </w:r>
    </w:p>
    <w:p>
      <w:pPr>
        <w:pStyle w:val="Indenti"/>
        <w:rPr>
          <w:snapToGrid w:val="0"/>
        </w:rPr>
      </w:pPr>
      <w:r>
        <w:rPr>
          <w:snapToGrid w:val="0"/>
        </w:rPr>
        <w:tab/>
        <w:t>(iii)</w:t>
      </w:r>
      <w:r>
        <w:rPr>
          <w:snapToGrid w:val="0"/>
        </w:rPr>
        <w:tab/>
        <w:t>if it is relevant to possible legal proceedings —for the purposes of those proceedings;</w:t>
      </w:r>
    </w:p>
    <w:p>
      <w:pPr>
        <w:pStyle w:val="Indenta"/>
        <w:rPr>
          <w:snapToGrid w:val="0"/>
        </w:rPr>
      </w:pPr>
      <w:r>
        <w:rPr>
          <w:snapToGrid w:val="0"/>
        </w:rPr>
        <w:tab/>
        <w:t>(e)</w:t>
      </w:r>
      <w:r>
        <w:rPr>
          <w:snapToGrid w:val="0"/>
        </w:rPr>
        <w:tab/>
        <w:t>if any relevant material found on the premises cannot be conveniently removed, secure it against interference;</w:t>
      </w:r>
    </w:p>
    <w:p>
      <w:pPr>
        <w:pStyle w:val="Indenta"/>
        <w:rPr>
          <w:snapToGrid w:val="0"/>
        </w:rPr>
      </w:pPr>
      <w:r>
        <w:rPr>
          <w:snapToGrid w:val="0"/>
        </w:rPr>
        <w:tab/>
        <w:t>(f)</w:t>
      </w:r>
      <w:r>
        <w:rPr>
          <w:snapToGrid w:val="0"/>
        </w:rPr>
        <w:tab/>
        <w:t>request any person who is on the premises — </w:t>
      </w:r>
    </w:p>
    <w:p>
      <w:pPr>
        <w:pStyle w:val="Indenti"/>
        <w:rPr>
          <w:snapToGrid w:val="0"/>
        </w:rPr>
      </w:pPr>
      <w:r>
        <w:rPr>
          <w:snapToGrid w:val="0"/>
        </w:rPr>
        <w:tab/>
        <w:t>(i)</w:t>
      </w:r>
      <w:r>
        <w:rPr>
          <w:snapToGrid w:val="0"/>
        </w:rPr>
        <w:tab/>
        <w:t>to state his or her full name, date of birth and address;</w:t>
      </w:r>
    </w:p>
    <w:p>
      <w:pPr>
        <w:pStyle w:val="Indenti"/>
        <w:rPr>
          <w:snapToGrid w:val="0"/>
        </w:rPr>
      </w:pPr>
      <w:r>
        <w:rPr>
          <w:snapToGrid w:val="0"/>
        </w:rPr>
        <w:tab/>
        <w:t>(ii)</w:t>
      </w:r>
      <w:r>
        <w:rPr>
          <w:snapToGrid w:val="0"/>
        </w:rPr>
        <w:tab/>
        <w:t>to answer (orally or in writing) questions asked by the authorised officer relevant to the authorised investigation;</w:t>
      </w:r>
    </w:p>
    <w:p>
      <w:pPr>
        <w:pStyle w:val="Indenti"/>
        <w:rPr>
          <w:snapToGrid w:val="0"/>
        </w:rPr>
      </w:pPr>
      <w:r>
        <w:rPr>
          <w:snapToGrid w:val="0"/>
        </w:rPr>
        <w:tab/>
        <w:t>(iii)</w:t>
      </w:r>
      <w:r>
        <w:rPr>
          <w:snapToGrid w:val="0"/>
        </w:rPr>
        <w:tab/>
        <w:t>to produce relevant material;</w:t>
      </w:r>
    </w:p>
    <w:p>
      <w:pPr>
        <w:pStyle w:val="Indenti"/>
        <w:rPr>
          <w:snapToGrid w:val="0"/>
        </w:rPr>
      </w:pPr>
      <w:r>
        <w:rPr>
          <w:snapToGrid w:val="0"/>
        </w:rPr>
        <w:tab/>
        <w:t>(iv)</w:t>
      </w:r>
      <w:r>
        <w:rPr>
          <w:snapToGrid w:val="0"/>
        </w:rPr>
        <w:tab/>
        <w:t>to operate equipment or facilities on the premises for a purpose relevant to the authorised investigation;</w:t>
      </w:r>
    </w:p>
    <w:p>
      <w:pPr>
        <w:pStyle w:val="Indenti"/>
        <w:rPr>
          <w:snapToGrid w:val="0"/>
        </w:rPr>
      </w:pPr>
      <w:r>
        <w:rPr>
          <w:snapToGrid w:val="0"/>
        </w:rPr>
        <w:tab/>
        <w:t>(v)</w:t>
      </w:r>
      <w:r>
        <w:rPr>
          <w:snapToGrid w:val="0"/>
        </w:rPr>
        <w:tab/>
        <w:t>to give other assistance the authorised investigator reasonably requires to carry out the authorised investigation.</w:t>
      </w:r>
    </w:p>
    <w:p>
      <w:pPr>
        <w:pStyle w:val="Subsection"/>
        <w:rPr>
          <w:snapToGrid w:val="0"/>
        </w:rPr>
      </w:pPr>
      <w:r>
        <w:rPr>
          <w:snapToGrid w:val="0"/>
        </w:rPr>
        <w:tab/>
        <w:t>(2)</w:t>
      </w:r>
      <w:r>
        <w:rPr>
          <w:snapToGrid w:val="0"/>
        </w:rPr>
        <w:tab/>
        <w:t>An authorised investigator must not exercise the power in subsection (1)(b) unless the Commissioner has, in the particular case, authorised the investigator to do so.</w:t>
      </w:r>
    </w:p>
    <w:p>
      <w:pPr>
        <w:pStyle w:val="Subsection"/>
        <w:rPr>
          <w:snapToGrid w:val="0"/>
        </w:rPr>
      </w:pPr>
      <w:r>
        <w:rPr>
          <w:snapToGrid w:val="0"/>
        </w:rPr>
        <w:tab/>
        <w:t>(3)</w:t>
      </w:r>
      <w:r>
        <w:rPr>
          <w:snapToGrid w:val="0"/>
        </w:rPr>
        <w:tab/>
        <w:t>If an authorised investigator takes anything from the premises, the investigator must issue a receipt, in an approved form, and — </w:t>
      </w:r>
    </w:p>
    <w:p>
      <w:pPr>
        <w:pStyle w:val="Indenta"/>
        <w:rPr>
          <w:snapToGrid w:val="0"/>
        </w:rPr>
      </w:pPr>
      <w:r>
        <w:rPr>
          <w:snapToGrid w:val="0"/>
        </w:rPr>
        <w:tab/>
        <w:t>(a)</w:t>
      </w:r>
      <w:r>
        <w:rPr>
          <w:snapToGrid w:val="0"/>
        </w:rPr>
        <w:tab/>
        <w:t>if the occupier or a person apparently responsible to the occupier is present, give it to him or her; or</w:t>
      </w:r>
    </w:p>
    <w:p>
      <w:pPr>
        <w:pStyle w:val="Indenta"/>
        <w:rPr>
          <w:snapToGrid w:val="0"/>
        </w:rPr>
      </w:pPr>
      <w:r>
        <w:rPr>
          <w:snapToGrid w:val="0"/>
        </w:rPr>
        <w:tab/>
        <w:t>(b)</w:t>
      </w:r>
      <w:r>
        <w:rPr>
          <w:snapToGrid w:val="0"/>
        </w:rPr>
        <w:tab/>
        <w:t>otherwise, leave it on the premises in an envelope addressed to the occupier.</w:t>
      </w:r>
    </w:p>
    <w:p>
      <w:pPr>
        <w:pStyle w:val="Subsection"/>
        <w:rPr>
          <w:snapToGrid w:val="0"/>
        </w:rPr>
      </w:pPr>
      <w:r>
        <w:rPr>
          <w:snapToGrid w:val="0"/>
        </w:rPr>
        <w:tab/>
        <w:t>(4)</w:t>
      </w:r>
      <w:r>
        <w:rPr>
          <w:snapToGrid w:val="0"/>
        </w:rPr>
        <w:tab/>
        <w:t>A person who hinders an authorised investigator commits an offence.</w:t>
      </w:r>
    </w:p>
    <w:p>
      <w:pPr>
        <w:pStyle w:val="Subsection"/>
        <w:rPr>
          <w:snapToGrid w:val="0"/>
        </w:rPr>
      </w:pPr>
      <w:r>
        <w:rPr>
          <w:snapToGrid w:val="0"/>
        </w:rPr>
        <w:tab/>
        <w:t>(5)</w:t>
      </w:r>
      <w:r>
        <w:rPr>
          <w:snapToGrid w:val="0"/>
        </w:rPr>
        <w:tab/>
        <w:t>A person hinders an authorised investigator if the person — </w:t>
      </w:r>
    </w:p>
    <w:p>
      <w:pPr>
        <w:pStyle w:val="Indenta"/>
        <w:rPr>
          <w:snapToGrid w:val="0"/>
        </w:rPr>
      </w:pPr>
      <w:r>
        <w:rPr>
          <w:snapToGrid w:val="0"/>
        </w:rPr>
        <w:tab/>
        <w:t>(a)</w:t>
      </w:r>
      <w:r>
        <w:rPr>
          <w:snapToGrid w:val="0"/>
        </w:rPr>
        <w:tab/>
        <w:t>hinders or obstructs the investigator in the exercise of powers under this section;</w:t>
      </w:r>
    </w:p>
    <w:p>
      <w:pPr>
        <w:pStyle w:val="Indenta"/>
        <w:rPr>
          <w:snapToGrid w:val="0"/>
        </w:rPr>
      </w:pPr>
      <w:r>
        <w:rPr>
          <w:snapToGrid w:val="0"/>
        </w:rPr>
        <w:tab/>
        <w:t>(b)</w:t>
      </w:r>
      <w:r>
        <w:rPr>
          <w:snapToGrid w:val="0"/>
        </w:rPr>
        <w:tab/>
        <w:t>does not comply with a request of the investigator under this section; or</w:t>
      </w:r>
    </w:p>
    <w:p>
      <w:pPr>
        <w:pStyle w:val="Indenta"/>
        <w:rPr>
          <w:snapToGrid w:val="0"/>
        </w:rPr>
      </w:pPr>
      <w:r>
        <w:rPr>
          <w:snapToGrid w:val="0"/>
        </w:rPr>
        <w:tab/>
        <w:t>(c)</w:t>
      </w:r>
      <w:r>
        <w:rPr>
          <w:snapToGrid w:val="0"/>
        </w:rPr>
        <w:tab/>
        <w:t>gives the investigator information that the person knows is false or misleading.</w:t>
      </w:r>
    </w:p>
    <w:p>
      <w:pPr>
        <w:pStyle w:val="Heading5"/>
        <w:rPr>
          <w:snapToGrid w:val="0"/>
        </w:rPr>
      </w:pPr>
      <w:bookmarkStart w:id="172" w:name="_Toc469893057"/>
      <w:bookmarkStart w:id="173" w:name="_Toc527535614"/>
      <w:bookmarkStart w:id="174" w:name="_Toc530207238"/>
      <w:r>
        <w:rPr>
          <w:rStyle w:val="CharSectno"/>
        </w:rPr>
        <w:t>58</w:t>
      </w:r>
      <w:r>
        <w:rPr>
          <w:snapToGrid w:val="0"/>
        </w:rPr>
        <w:t>.</w:t>
      </w:r>
      <w:r>
        <w:rPr>
          <w:snapToGrid w:val="0"/>
        </w:rPr>
        <w:tab/>
        <w:t>Use of force</w:t>
      </w:r>
      <w:bookmarkEnd w:id="172"/>
      <w:bookmarkEnd w:id="173"/>
      <w:bookmarkEnd w:id="174"/>
      <w:r>
        <w:rPr>
          <w:snapToGrid w:val="0"/>
        </w:rPr>
        <w:t xml:space="preserve"> </w:t>
      </w:r>
    </w:p>
    <w:p>
      <w:pPr>
        <w:pStyle w:val="Subsection"/>
        <w:rPr>
          <w:snapToGrid w:val="0"/>
        </w:rPr>
      </w:pPr>
      <w:r>
        <w:rPr>
          <w:snapToGrid w:val="0"/>
        </w:rPr>
        <w:tab/>
        <w:t>(1)</w:t>
      </w:r>
      <w:r>
        <w:rPr>
          <w:snapToGrid w:val="0"/>
        </w:rPr>
        <w:tab/>
        <w:t>An authorised investigator may use reasonable force to exercise the power to enter premises under section 55 or under a warrant issued under section 56 or to exercise the powers in section 57(1)(a) to (e).</w:t>
      </w:r>
    </w:p>
    <w:p>
      <w:pPr>
        <w:pStyle w:val="Subsection"/>
        <w:rPr>
          <w:snapToGrid w:val="0"/>
        </w:rPr>
      </w:pPr>
      <w:r>
        <w:rPr>
          <w:snapToGrid w:val="0"/>
        </w:rPr>
        <w:tab/>
        <w:t>(2)</w:t>
      </w:r>
      <w:r>
        <w:rPr>
          <w:snapToGrid w:val="0"/>
        </w:rPr>
        <w:tab/>
        <w:t>An authorised investigator must not use the power in subsection (1) unless the Commissioner has, in the particular case, authorised the investigator to do so.</w:t>
      </w:r>
    </w:p>
    <w:p>
      <w:pPr>
        <w:pStyle w:val="Subsection"/>
        <w:rPr>
          <w:snapToGrid w:val="0"/>
        </w:rPr>
      </w:pPr>
      <w:r>
        <w:rPr>
          <w:snapToGrid w:val="0"/>
        </w:rPr>
        <w:tab/>
        <w:t>(3)</w:t>
      </w:r>
      <w:r>
        <w:rPr>
          <w:snapToGrid w:val="0"/>
        </w:rPr>
        <w:tab/>
        <w:t>No liability is incurred as a result of injury or damage arising from the use of reasonable force under this section.</w:t>
      </w:r>
    </w:p>
    <w:p>
      <w:pPr>
        <w:pStyle w:val="Heading2"/>
      </w:pPr>
      <w:r>
        <w:rPr>
          <w:rStyle w:val="CharPartNo"/>
        </w:rPr>
        <w:t>Part 8</w:t>
      </w:r>
      <w:r>
        <w:rPr>
          <w:rStyle w:val="CharDivNo"/>
        </w:rPr>
        <w:t> </w:t>
      </w:r>
      <w:r>
        <w:t>—</w:t>
      </w:r>
      <w:r>
        <w:rPr>
          <w:rStyle w:val="CharDivText"/>
        </w:rPr>
        <w:t> </w:t>
      </w:r>
      <w:r>
        <w:rPr>
          <w:rStyle w:val="CharPartText"/>
        </w:rPr>
        <w:t xml:space="preserve">Administrative matters </w:t>
      </w:r>
    </w:p>
    <w:p>
      <w:pPr>
        <w:pStyle w:val="Heading5"/>
        <w:rPr>
          <w:snapToGrid w:val="0"/>
        </w:rPr>
      </w:pPr>
      <w:bookmarkStart w:id="175" w:name="_Toc469893058"/>
      <w:bookmarkStart w:id="176" w:name="_Toc527535615"/>
      <w:bookmarkStart w:id="177" w:name="_Toc530207239"/>
      <w:r>
        <w:rPr>
          <w:rStyle w:val="CharSectno"/>
        </w:rPr>
        <w:t>59</w:t>
      </w:r>
      <w:r>
        <w:rPr>
          <w:snapToGrid w:val="0"/>
        </w:rPr>
        <w:t>.</w:t>
      </w:r>
      <w:r>
        <w:rPr>
          <w:snapToGrid w:val="0"/>
        </w:rPr>
        <w:tab/>
        <w:t>Commissioner may delegate</w:t>
      </w:r>
      <w:bookmarkEnd w:id="175"/>
      <w:bookmarkEnd w:id="176"/>
      <w:bookmarkEnd w:id="177"/>
      <w:r>
        <w:rPr>
          <w:snapToGrid w:val="0"/>
        </w:rPr>
        <w:t xml:space="preserve"> </w:t>
      </w:r>
    </w:p>
    <w:p>
      <w:pPr>
        <w:pStyle w:val="Subsection"/>
        <w:rPr>
          <w:snapToGrid w:val="0"/>
        </w:rPr>
      </w:pPr>
      <w:r>
        <w:rPr>
          <w:snapToGrid w:val="0"/>
        </w:rPr>
        <w:tab/>
        <w:t>(1)</w:t>
      </w:r>
      <w:r>
        <w:rPr>
          <w:snapToGrid w:val="0"/>
        </w:rPr>
        <w:tab/>
        <w:t>The Commissioner may delegate any of the Commissioner’s functions under this Act except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functions in section 52; and</w:t>
      </w:r>
    </w:p>
    <w:p>
      <w:pPr>
        <w:pStyle w:val="Indenta"/>
        <w:rPr>
          <w:snapToGrid w:val="0"/>
        </w:rPr>
      </w:pPr>
      <w:r>
        <w:rPr>
          <w:snapToGrid w:val="0"/>
        </w:rPr>
        <w:tab/>
        <w:t>(c)</w:t>
      </w:r>
      <w:r>
        <w:rPr>
          <w:snapToGrid w:val="0"/>
        </w:rPr>
        <w:tab/>
        <w:t>the powers in sections 55(3), 57(2) and 58(2).</w:t>
      </w:r>
    </w:p>
    <w:p>
      <w:pPr>
        <w:pStyle w:val="Subsection"/>
        <w:rPr>
          <w:snapToGrid w:val="0"/>
        </w:rPr>
      </w:pPr>
      <w:r>
        <w:rPr>
          <w:snapToGrid w:val="0"/>
        </w:rPr>
        <w:tab/>
        <w:t>(2)</w:t>
      </w:r>
      <w:r>
        <w:rPr>
          <w:snapToGrid w:val="0"/>
        </w:rPr>
        <w:tab/>
        <w:t>Performance of a function by a delegate is to be treated as performance by the Commissioner.</w:t>
      </w:r>
    </w:p>
    <w:p>
      <w:pPr>
        <w:pStyle w:val="Heading5"/>
        <w:rPr>
          <w:snapToGrid w:val="0"/>
        </w:rPr>
      </w:pPr>
      <w:bookmarkStart w:id="178" w:name="_Toc469893059"/>
      <w:bookmarkStart w:id="179" w:name="_Toc527535616"/>
      <w:bookmarkStart w:id="180" w:name="_Toc530207240"/>
      <w:r>
        <w:rPr>
          <w:rStyle w:val="CharSectno"/>
        </w:rPr>
        <w:t>60</w:t>
      </w:r>
      <w:r>
        <w:rPr>
          <w:snapToGrid w:val="0"/>
        </w:rPr>
        <w:t>.</w:t>
      </w:r>
      <w:r>
        <w:rPr>
          <w:snapToGrid w:val="0"/>
        </w:rPr>
        <w:tab/>
        <w:t>Ministerial review</w:t>
      </w:r>
      <w:bookmarkEnd w:id="178"/>
      <w:bookmarkEnd w:id="179"/>
      <w:bookmarkEnd w:id="180"/>
      <w:r>
        <w:rPr>
          <w:snapToGrid w:val="0"/>
        </w:rPr>
        <w:t xml:space="preserve"> </w:t>
      </w:r>
    </w:p>
    <w:p>
      <w:pPr>
        <w:pStyle w:val="Subsection"/>
        <w:rPr>
          <w:snapToGrid w:val="0"/>
        </w:rPr>
      </w:pPr>
      <w:r>
        <w:rPr>
          <w:snapToGrid w:val="0"/>
        </w:rPr>
        <w:tab/>
        <w:t>(1)</w:t>
      </w:r>
      <w:r>
        <w:rPr>
          <w:snapToGrid w:val="0"/>
        </w:rPr>
        <w:tab/>
        <w:t>If within 60 days after a decision of the Commissioner the Minister receives an application under a section that provides for a person to apply to the Minister for a review of the decision, the Minister is to review the decision and may confirm, vary or reverse it.</w:t>
      </w:r>
    </w:p>
    <w:p>
      <w:pPr>
        <w:pStyle w:val="Subsection"/>
        <w:rPr>
          <w:snapToGrid w:val="0"/>
        </w:rPr>
      </w:pPr>
      <w:r>
        <w:rPr>
          <w:snapToGrid w:val="0"/>
        </w:rPr>
        <w:tab/>
        <w:t>(2)</w:t>
      </w:r>
      <w:r>
        <w:rPr>
          <w:snapToGrid w:val="0"/>
        </w:rPr>
        <w:tab/>
        <w:t>If the application is for a review of a decision of the Commissioner made under section 37(6) or 41(6), the Commissioner’s decision is suspended from the time the application is received by the Minister until the applicant is given notice of the Minister’s decision; at which time, unless the Commissioner’s decision has been reversed, it has effect subject to the Minister’s decision.</w:t>
      </w:r>
    </w:p>
    <w:p>
      <w:pPr>
        <w:pStyle w:val="Subsection"/>
        <w:rPr>
          <w:snapToGrid w:val="0"/>
        </w:rPr>
      </w:pPr>
      <w:r>
        <w:rPr>
          <w:snapToGrid w:val="0"/>
        </w:rPr>
        <w:tab/>
        <w:t>(3)</w:t>
      </w:r>
      <w:r>
        <w:rPr>
          <w:snapToGrid w:val="0"/>
        </w:rPr>
        <w:tab/>
        <w:t>The Commissioner must give effect to the Minister’s decision on a review.</w:t>
      </w:r>
    </w:p>
    <w:p>
      <w:pPr>
        <w:pStyle w:val="Subsection"/>
        <w:rPr>
          <w:snapToGrid w:val="0"/>
        </w:rPr>
      </w:pPr>
      <w:r>
        <w:rPr>
          <w:snapToGrid w:val="0"/>
        </w:rPr>
        <w:tab/>
        <w:t>(4)</w:t>
      </w:r>
      <w:r>
        <w:rPr>
          <w:snapToGrid w:val="0"/>
        </w:rPr>
        <w:tab/>
        <w:t>The Minister’s decision on a review is final.</w:t>
      </w:r>
    </w:p>
    <w:p>
      <w:pPr>
        <w:pStyle w:val="Subsection"/>
        <w:rPr>
          <w:snapToGrid w:val="0"/>
        </w:rPr>
      </w:pPr>
      <w:r>
        <w:rPr>
          <w:snapToGrid w:val="0"/>
        </w:rPr>
        <w:tab/>
        <w:t>(5)</w:t>
      </w:r>
      <w:r>
        <w:rPr>
          <w:snapToGrid w:val="0"/>
        </w:rPr>
        <w:tab/>
        <w:t>The Commissioner must give the applicant written notice of the Minister’s decision.</w:t>
      </w:r>
    </w:p>
    <w:p>
      <w:pPr>
        <w:pStyle w:val="Heading5"/>
        <w:rPr>
          <w:snapToGrid w:val="0"/>
        </w:rPr>
      </w:pPr>
      <w:bookmarkStart w:id="181" w:name="_Toc469893060"/>
      <w:bookmarkStart w:id="182" w:name="_Toc527535617"/>
      <w:bookmarkStart w:id="183" w:name="_Toc530207241"/>
      <w:r>
        <w:rPr>
          <w:rStyle w:val="CharSectno"/>
        </w:rPr>
        <w:t>61</w:t>
      </w:r>
      <w:r>
        <w:rPr>
          <w:snapToGrid w:val="0"/>
        </w:rPr>
        <w:t>.</w:t>
      </w:r>
      <w:r>
        <w:rPr>
          <w:snapToGrid w:val="0"/>
        </w:rPr>
        <w:tab/>
        <w:t>Confidentiality</w:t>
      </w:r>
      <w:bookmarkEnd w:id="181"/>
      <w:bookmarkEnd w:id="182"/>
      <w:bookmarkEnd w:id="183"/>
      <w:r>
        <w:rPr>
          <w:snapToGrid w:val="0"/>
        </w:rPr>
        <w:t xml:space="preserve"> </w:t>
      </w:r>
    </w:p>
    <w:p>
      <w:pPr>
        <w:pStyle w:val="Subsection"/>
        <w:rPr>
          <w:snapToGrid w:val="0"/>
        </w:rPr>
      </w:pPr>
      <w:r>
        <w:rPr>
          <w:snapToGrid w:val="0"/>
        </w:rPr>
        <w:tab/>
        <w:t>(1)</w:t>
      </w:r>
      <w:r>
        <w:rPr>
          <w:snapToGrid w:val="0"/>
        </w:rPr>
        <w:tab/>
        <w:t>These persons are subject to the duty of confidentiality in this section:</w:t>
      </w:r>
    </w:p>
    <w:p>
      <w:pPr>
        <w:pStyle w:val="Indenta"/>
        <w:rPr>
          <w:snapToGrid w:val="0"/>
        </w:rPr>
      </w:pPr>
      <w:r>
        <w:rPr>
          <w:snapToGrid w:val="0"/>
        </w:rPr>
        <w:tab/>
        <w:t>(a)</w:t>
      </w:r>
      <w:r>
        <w:rPr>
          <w:snapToGrid w:val="0"/>
        </w:rPr>
        <w:tab/>
        <w:t>a person who is or was the Commissioner;</w:t>
      </w:r>
    </w:p>
    <w:p>
      <w:pPr>
        <w:pStyle w:val="Indenta"/>
        <w:rPr>
          <w:snapToGrid w:val="0"/>
        </w:rPr>
      </w:pPr>
      <w:r>
        <w:rPr>
          <w:snapToGrid w:val="0"/>
        </w:rPr>
        <w:tab/>
        <w:t>(b)</w:t>
      </w:r>
      <w:r>
        <w:rPr>
          <w:snapToGrid w:val="0"/>
        </w:rPr>
        <w:tab/>
        <w:t>people who are or were engaged or employed in the administration or enforcement of this Act;</w:t>
      </w:r>
    </w:p>
    <w:p>
      <w:pPr>
        <w:pStyle w:val="Indenta"/>
        <w:rPr>
          <w:snapToGrid w:val="0"/>
        </w:rPr>
      </w:pPr>
      <w:r>
        <w:rPr>
          <w:snapToGrid w:val="0"/>
        </w:rPr>
        <w:tab/>
        <w:t>(c)</w:t>
      </w:r>
      <w:r>
        <w:rPr>
          <w:snapToGrid w:val="0"/>
        </w:rPr>
        <w:tab/>
        <w:t>other people — </w:t>
      </w:r>
    </w:p>
    <w:p>
      <w:pPr>
        <w:pStyle w:val="Indenti"/>
        <w:rPr>
          <w:snapToGrid w:val="0"/>
        </w:rPr>
      </w:pPr>
      <w:r>
        <w:rPr>
          <w:snapToGrid w:val="0"/>
        </w:rPr>
        <w:tab/>
        <w:t>(i)</w:t>
      </w:r>
      <w:r>
        <w:rPr>
          <w:snapToGrid w:val="0"/>
        </w:rPr>
        <w:tab/>
        <w:t>to whom information or records are disclosed under this Act; or</w:t>
      </w:r>
    </w:p>
    <w:p>
      <w:pPr>
        <w:pStyle w:val="Indenti"/>
        <w:rPr>
          <w:snapToGrid w:val="0"/>
        </w:rPr>
      </w:pPr>
      <w:r>
        <w:rPr>
          <w:snapToGrid w:val="0"/>
        </w:rPr>
        <w:tab/>
        <w:t>(ii)</w:t>
      </w:r>
      <w:r>
        <w:rPr>
          <w:snapToGrid w:val="0"/>
        </w:rPr>
        <w:tab/>
        <w:t>who gain access (properly or improperly) to information or records obtained under this Act.</w:t>
      </w:r>
    </w:p>
    <w:p>
      <w:pPr>
        <w:pStyle w:val="Subsection"/>
        <w:rPr>
          <w:snapToGrid w:val="0"/>
        </w:rPr>
      </w:pPr>
      <w:r>
        <w:rPr>
          <w:snapToGrid w:val="0"/>
        </w:rPr>
        <w:tab/>
        <w:t>(2)</w:t>
      </w:r>
      <w:r>
        <w:rPr>
          <w:snapToGrid w:val="0"/>
        </w:rPr>
        <w:tab/>
        <w:t>A person subject to the duty of confidentiality in this section must not record, disclose, or make use of information or records obtained under this Act except — </w:t>
      </w:r>
    </w:p>
    <w:p>
      <w:pPr>
        <w:pStyle w:val="Indenta"/>
        <w:rPr>
          <w:snapToGrid w:val="0"/>
        </w:rPr>
      </w:pPr>
      <w:r>
        <w:rPr>
          <w:snapToGrid w:val="0"/>
        </w:rPr>
        <w:tab/>
        <w:t>(a)</w:t>
      </w:r>
      <w:r>
        <w:rPr>
          <w:snapToGrid w:val="0"/>
        </w:rPr>
        <w:tab/>
        <w:t>for a purpose related to the administration or enforcement of this Act;</w:t>
      </w:r>
    </w:p>
    <w:p>
      <w:pPr>
        <w:pStyle w:val="Indenta"/>
        <w:rPr>
          <w:snapToGrid w:val="0"/>
        </w:rPr>
      </w:pPr>
      <w:r>
        <w:rPr>
          <w:snapToGrid w:val="0"/>
        </w:rPr>
        <w:tab/>
        <w:t>(b)</w:t>
      </w:r>
      <w:r>
        <w:rPr>
          <w:snapToGrid w:val="0"/>
        </w:rPr>
        <w:tab/>
        <w:t>as required or allowed by this Act or another written law that specifically or by necessary implication overrides this duty of confidentiality;</w:t>
      </w:r>
    </w:p>
    <w:p>
      <w:pPr>
        <w:pStyle w:val="Indenta"/>
        <w:rPr>
          <w:snapToGrid w:val="0"/>
        </w:rPr>
      </w:pPr>
      <w:r>
        <w:rPr>
          <w:snapToGrid w:val="0"/>
        </w:rPr>
        <w:tab/>
        <w:t>(c)</w:t>
      </w:r>
      <w:r>
        <w:rPr>
          <w:snapToGrid w:val="0"/>
        </w:rPr>
        <w:tab/>
        <w:t>as authorised by the person to whose affairs the information or records relate; or</w:t>
      </w:r>
    </w:p>
    <w:p>
      <w:pPr>
        <w:pStyle w:val="Indenta"/>
        <w:rPr>
          <w:snapToGrid w:val="0"/>
        </w:rPr>
      </w:pPr>
      <w:r>
        <w:rPr>
          <w:snapToGrid w:val="0"/>
        </w:rPr>
        <w:tab/>
        <w:t>(d)</w:t>
      </w:r>
      <w:r>
        <w:rPr>
          <w:snapToGrid w:val="0"/>
        </w:rPr>
        <w:tab/>
        <w:t>for the purpose of legal proceedings, or a report of legal proceedings, arising out of this Act.</w:t>
      </w:r>
    </w:p>
    <w:p>
      <w:pPr>
        <w:pStyle w:val="Subsection"/>
        <w:rPr>
          <w:snapToGrid w:val="0"/>
        </w:rPr>
      </w:pPr>
      <w:r>
        <w:rPr>
          <w:snapToGrid w:val="0"/>
        </w:rPr>
        <w:tab/>
        <w:t>(3)</w:t>
      </w:r>
      <w:r>
        <w:rPr>
          <w:snapToGrid w:val="0"/>
        </w:rPr>
        <w:tab/>
        <w:t>This section does not prevent the disclosure of information or records — </w:t>
      </w:r>
    </w:p>
    <w:p>
      <w:pPr>
        <w:pStyle w:val="Indenta"/>
        <w:rPr>
          <w:snapToGrid w:val="0"/>
        </w:rPr>
      </w:pPr>
      <w:r>
        <w:rPr>
          <w:snapToGrid w:val="0"/>
        </w:rPr>
        <w:tab/>
        <w:t>(a)</w:t>
      </w:r>
      <w:r>
        <w:rPr>
          <w:snapToGrid w:val="0"/>
        </w:rPr>
        <w:tab/>
        <w:t>to the Treasury Department</w:t>
      </w:r>
      <w:r>
        <w:rPr>
          <w:snapToGrid w:val="0"/>
          <w:vertAlign w:val="superscript"/>
        </w:rPr>
        <w:t> 2</w:t>
      </w:r>
      <w:r>
        <w:rPr>
          <w:snapToGrid w:val="0"/>
        </w:rPr>
        <w:t>;</w:t>
      </w:r>
    </w:p>
    <w:p>
      <w:pPr>
        <w:pStyle w:val="Indenta"/>
        <w:rPr>
          <w:snapToGrid w:val="0"/>
        </w:rPr>
      </w:pPr>
      <w:r>
        <w:rPr>
          <w:snapToGrid w:val="0"/>
        </w:rPr>
        <w:tab/>
        <w:t>(b)</w:t>
      </w:r>
      <w:r>
        <w:rPr>
          <w:snapToGrid w:val="0"/>
        </w:rPr>
        <w:tab/>
        <w:t xml:space="preserve">to an officer of Customs for a purpose connected with the administration or enforcement of the </w:t>
      </w:r>
      <w:r>
        <w:rPr>
          <w:i/>
          <w:snapToGrid w:val="0"/>
        </w:rPr>
        <w:t>Customs Act 1901</w:t>
      </w:r>
      <w:r>
        <w:rPr>
          <w:snapToGrid w:val="0"/>
        </w:rPr>
        <w:t xml:space="preserve">, </w:t>
      </w:r>
      <w:r>
        <w:rPr>
          <w:i/>
          <w:snapToGrid w:val="0"/>
        </w:rPr>
        <w:t>Customs Tariff Act 1995</w:t>
      </w:r>
      <w:r>
        <w:rPr>
          <w:snapToGrid w:val="0"/>
        </w:rPr>
        <w:t xml:space="preserve">, </w:t>
      </w:r>
      <w:r>
        <w:rPr>
          <w:i/>
          <w:snapToGrid w:val="0"/>
        </w:rPr>
        <w:t>Excise Act 1901</w:t>
      </w:r>
      <w:r>
        <w:rPr>
          <w:snapToGrid w:val="0"/>
        </w:rPr>
        <w:t xml:space="preserve">, or </w:t>
      </w:r>
      <w:r>
        <w:rPr>
          <w:i/>
          <w:snapToGrid w:val="0"/>
        </w:rPr>
        <w:t>Excise Tariff Act 1921</w:t>
      </w:r>
      <w:r>
        <w:rPr>
          <w:snapToGrid w:val="0"/>
        </w:rPr>
        <w:t xml:space="preserve"> of the Commonwealth, as amended from time to time;</w:t>
      </w:r>
    </w:p>
    <w:p>
      <w:pPr>
        <w:pStyle w:val="Indenta"/>
        <w:rPr>
          <w:snapToGrid w:val="0"/>
        </w:rPr>
      </w:pPr>
      <w:r>
        <w:rPr>
          <w:snapToGrid w:val="0"/>
        </w:rPr>
        <w:tab/>
        <w:t>(c)</w:t>
      </w:r>
      <w:r>
        <w:rPr>
          <w:snapToGrid w:val="0"/>
        </w:rPr>
        <w:tab/>
        <w:t>to an official administering a taxation law of another State, a Territory or the Commonwealth for a purpose related to the administration of that law;</w:t>
      </w:r>
    </w:p>
    <w:p>
      <w:pPr>
        <w:pStyle w:val="Indenta"/>
        <w:rPr>
          <w:snapToGrid w:val="0"/>
        </w:rPr>
      </w:pPr>
      <w:r>
        <w:rPr>
          <w:snapToGrid w:val="0"/>
        </w:rPr>
        <w:tab/>
        <w:t>(d)</w:t>
      </w:r>
      <w:r>
        <w:rPr>
          <w:snapToGrid w:val="0"/>
        </w:rPr>
        <w:tab/>
        <w:t>to an official of another State, a Territory or the Commonwealth administering a scheme for the payment of subsidies for fuel;</w:t>
      </w:r>
    </w:p>
    <w:p>
      <w:pPr>
        <w:pStyle w:val="Indenta"/>
        <w:rPr>
          <w:snapToGrid w:val="0"/>
        </w:rPr>
      </w:pPr>
      <w:r>
        <w:rPr>
          <w:snapToGrid w:val="0"/>
        </w:rPr>
        <w:tab/>
        <w:t>(e)</w:t>
      </w:r>
      <w:r>
        <w:rPr>
          <w:snapToGrid w:val="0"/>
        </w:rPr>
        <w:tab/>
        <w:t xml:space="preserve">in connection with the investigation of an offence to — </w:t>
      </w:r>
    </w:p>
    <w:p>
      <w:pPr>
        <w:pStyle w:val="Indenti"/>
        <w:rPr>
          <w:snapToGrid w:val="0"/>
        </w:rPr>
      </w:pPr>
      <w:r>
        <w:rPr>
          <w:snapToGrid w:val="0"/>
        </w:rPr>
        <w:tab/>
        <w:t>(i)</w:t>
      </w:r>
      <w:r>
        <w:rPr>
          <w:snapToGrid w:val="0"/>
        </w:rPr>
        <w:tab/>
        <w:t>a member of the Police Force of Western Australia or the Australian Federal Police;</w:t>
      </w:r>
    </w:p>
    <w:p>
      <w:pPr>
        <w:pStyle w:val="Indenti"/>
        <w:rPr>
          <w:snapToGrid w:val="0"/>
        </w:rPr>
      </w:pPr>
      <w:r>
        <w:rPr>
          <w:snapToGrid w:val="0"/>
        </w:rPr>
        <w:tab/>
        <w:t>(ii)</w:t>
      </w:r>
      <w:r>
        <w:rPr>
          <w:snapToGrid w:val="0"/>
        </w:rPr>
        <w:tab/>
        <w:t>the Director of Public Prosecutions for WA or the Commonwealth;</w:t>
      </w:r>
    </w:p>
    <w:p>
      <w:pPr>
        <w:pStyle w:val="Indenti"/>
        <w:rPr>
          <w:snapToGrid w:val="0"/>
        </w:rPr>
      </w:pPr>
      <w:r>
        <w:rPr>
          <w:snapToGrid w:val="0"/>
        </w:rPr>
        <w:tab/>
        <w:t>(iii)</w:t>
      </w:r>
      <w:r>
        <w:rPr>
          <w:snapToGrid w:val="0"/>
        </w:rPr>
        <w:tab/>
        <w:t>an officer of another law enforcement agency established under the law of a State or Territory or the Commonwealth authorised by regulation to receive confidential information under this paragraph;</w:t>
      </w:r>
    </w:p>
    <w:p>
      <w:pPr>
        <w:pStyle w:val="Indenta"/>
        <w:rPr>
          <w:snapToGrid w:val="0"/>
        </w:rPr>
      </w:pPr>
      <w:r>
        <w:rPr>
          <w:snapToGrid w:val="0"/>
        </w:rPr>
        <w:tab/>
        <w:t>(f)</w:t>
      </w:r>
      <w:r>
        <w:rPr>
          <w:snapToGrid w:val="0"/>
        </w:rPr>
        <w:tab/>
        <w:t>in a statistical or other form that could not reasonably be expected to lead to the identification of any person to whose affairs it relates;</w:t>
      </w:r>
    </w:p>
    <w:p>
      <w:pPr>
        <w:pStyle w:val="Indenta"/>
        <w:rPr>
          <w:snapToGrid w:val="0"/>
        </w:rPr>
      </w:pPr>
      <w:r>
        <w:rPr>
          <w:snapToGrid w:val="0"/>
        </w:rPr>
        <w:tab/>
        <w:t>(g)</w:t>
      </w:r>
      <w:r>
        <w:rPr>
          <w:snapToGrid w:val="0"/>
        </w:rPr>
        <w:tab/>
        <w:t>in other circumstances in which its disclosure is permitted by the regulations.</w:t>
      </w:r>
    </w:p>
    <w:p>
      <w:pPr>
        <w:pStyle w:val="Subsection"/>
        <w:rPr>
          <w:snapToGrid w:val="0"/>
        </w:rPr>
      </w:pPr>
      <w:r>
        <w:rPr>
          <w:snapToGrid w:val="0"/>
        </w:rPr>
        <w:tab/>
        <w:t>(4)</w:t>
      </w:r>
      <w:r>
        <w:rPr>
          <w:snapToGrid w:val="0"/>
        </w:rPr>
        <w:tab/>
        <w:t>If information or records are lawfully disclosed under this section, this section does not prevent the further disclosure of the information or records, or the recording or use of the information or records, for the purpose for which the disclosure was made.</w:t>
      </w:r>
    </w:p>
    <w:p>
      <w:pPr>
        <w:pStyle w:val="Subsection"/>
        <w:rPr>
          <w:snapToGrid w:val="0"/>
        </w:rPr>
      </w:pPr>
      <w:r>
        <w:rPr>
          <w:snapToGrid w:val="0"/>
        </w:rPr>
        <w:tab/>
        <w:t>(5)</w:t>
      </w:r>
      <w:r>
        <w:rPr>
          <w:snapToGrid w:val="0"/>
        </w:rPr>
        <w:tab/>
        <w:t>A person subject to the duty of confidentiality in this section who contravenes it commits an offence.</w:t>
      </w:r>
    </w:p>
    <w:p>
      <w:pPr>
        <w:pStyle w:val="Heading2"/>
      </w:pPr>
      <w:r>
        <w:rPr>
          <w:rStyle w:val="CharPartNo"/>
        </w:rPr>
        <w:t>Part 9</w:t>
      </w:r>
      <w:r>
        <w:rPr>
          <w:rStyle w:val="CharDivNo"/>
        </w:rPr>
        <w:t> </w:t>
      </w:r>
      <w:r>
        <w:t>—</w:t>
      </w:r>
      <w:r>
        <w:rPr>
          <w:rStyle w:val="CharDivText"/>
        </w:rPr>
        <w:t> </w:t>
      </w:r>
      <w:r>
        <w:rPr>
          <w:rStyle w:val="CharPartText"/>
        </w:rPr>
        <w:t xml:space="preserve">Miscellaneous </w:t>
      </w:r>
    </w:p>
    <w:p>
      <w:pPr>
        <w:pStyle w:val="Heading5"/>
        <w:rPr>
          <w:snapToGrid w:val="0"/>
        </w:rPr>
      </w:pPr>
      <w:bookmarkStart w:id="184" w:name="_Toc469893061"/>
      <w:bookmarkStart w:id="185" w:name="_Toc527535618"/>
      <w:bookmarkStart w:id="186" w:name="_Toc530207242"/>
      <w:r>
        <w:rPr>
          <w:rStyle w:val="CharSectno"/>
        </w:rPr>
        <w:t>62</w:t>
      </w:r>
      <w:r>
        <w:rPr>
          <w:snapToGrid w:val="0"/>
        </w:rPr>
        <w:t>.</w:t>
      </w:r>
      <w:r>
        <w:rPr>
          <w:snapToGrid w:val="0"/>
        </w:rPr>
        <w:tab/>
        <w:t>Recovery of penalties</w:t>
      </w:r>
      <w:bookmarkEnd w:id="184"/>
      <w:bookmarkEnd w:id="185"/>
      <w:bookmarkEnd w:id="186"/>
      <w:r>
        <w:rPr>
          <w:snapToGrid w:val="0"/>
        </w:rPr>
        <w:t xml:space="preserve"> </w:t>
      </w:r>
    </w:p>
    <w:p>
      <w:pPr>
        <w:pStyle w:val="Subsection"/>
        <w:rPr>
          <w:snapToGrid w:val="0"/>
        </w:rPr>
      </w:pPr>
      <w:r>
        <w:rPr>
          <w:snapToGrid w:val="0"/>
        </w:rPr>
        <w:tab/>
      </w:r>
      <w:r>
        <w:rPr>
          <w:snapToGrid w:val="0"/>
        </w:rPr>
        <w:tab/>
        <w:t>If a person does not pay a penalty under section 24, 33 or 49 — </w:t>
      </w:r>
    </w:p>
    <w:p>
      <w:pPr>
        <w:pStyle w:val="Indenta"/>
        <w:rPr>
          <w:snapToGrid w:val="0"/>
        </w:rPr>
      </w:pPr>
      <w:r>
        <w:rPr>
          <w:snapToGrid w:val="0"/>
        </w:rPr>
        <w:tab/>
        <w:t>(a)</w:t>
      </w:r>
      <w:r>
        <w:rPr>
          <w:snapToGrid w:val="0"/>
        </w:rPr>
        <w:tab/>
        <w:t>a court that convicts the person of an offence of not paying it may order the person to pay it; or</w:t>
      </w:r>
    </w:p>
    <w:p>
      <w:pPr>
        <w:pStyle w:val="Indenta"/>
        <w:rPr>
          <w:snapToGrid w:val="0"/>
        </w:rPr>
      </w:pPr>
      <w:r>
        <w:rPr>
          <w:snapToGrid w:val="0"/>
        </w:rPr>
        <w:tab/>
        <w:t>(b)</w:t>
      </w:r>
      <w:r>
        <w:rPr>
          <w:snapToGrid w:val="0"/>
        </w:rPr>
        <w:tab/>
        <w:t>the Commissioner may recover it in a court of competent jurisdiction as a debt due to the Crown.</w:t>
      </w:r>
    </w:p>
    <w:p>
      <w:pPr>
        <w:pStyle w:val="Heading5"/>
        <w:rPr>
          <w:snapToGrid w:val="0"/>
        </w:rPr>
      </w:pPr>
      <w:bookmarkStart w:id="187" w:name="_Toc469893062"/>
      <w:bookmarkStart w:id="188" w:name="_Toc527535619"/>
      <w:bookmarkStart w:id="189" w:name="_Toc530207243"/>
      <w:r>
        <w:rPr>
          <w:rStyle w:val="CharSectno"/>
        </w:rPr>
        <w:t>63</w:t>
      </w:r>
      <w:r>
        <w:rPr>
          <w:snapToGrid w:val="0"/>
        </w:rPr>
        <w:t>.</w:t>
      </w:r>
      <w:r>
        <w:rPr>
          <w:snapToGrid w:val="0"/>
        </w:rPr>
        <w:tab/>
        <w:t>Recovery of certain subsidies</w:t>
      </w:r>
      <w:bookmarkEnd w:id="187"/>
      <w:bookmarkEnd w:id="188"/>
      <w:bookmarkEnd w:id="18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who is not an authorised distributor is compensated in respect of a quantity of diesel; or</w:t>
      </w:r>
    </w:p>
    <w:p>
      <w:pPr>
        <w:pStyle w:val="Indenta"/>
        <w:rPr>
          <w:snapToGrid w:val="0"/>
        </w:rPr>
      </w:pPr>
      <w:r>
        <w:rPr>
          <w:snapToGrid w:val="0"/>
        </w:rPr>
        <w:tab/>
        <w:t>(b)</w:t>
      </w:r>
      <w:r>
        <w:rPr>
          <w:snapToGrid w:val="0"/>
        </w:rPr>
        <w:tab/>
        <w:t>a person who is not a certified user obtains a quantity of diesel at the ORD subsidized price,</w:t>
      </w:r>
    </w:p>
    <w:p>
      <w:pPr>
        <w:pStyle w:val="Subsection"/>
        <w:rPr>
          <w:snapToGrid w:val="0"/>
        </w:rPr>
      </w:pPr>
      <w:r>
        <w:rPr>
          <w:snapToGrid w:val="0"/>
        </w:rPr>
        <w:tab/>
      </w:r>
      <w:r>
        <w:rPr>
          <w:snapToGrid w:val="0"/>
        </w:rPr>
        <w:tab/>
        <w:t>and an ORD subsidy is paid in respect of that diesel, the person must pay the Commissioner an amount equal to double the value of the benefit that the person received.</w:t>
      </w:r>
    </w:p>
    <w:p>
      <w:pPr>
        <w:pStyle w:val="Subsection"/>
        <w:rPr>
          <w:snapToGrid w:val="0"/>
        </w:rPr>
      </w:pPr>
      <w:r>
        <w:rPr>
          <w:snapToGrid w:val="0"/>
        </w:rPr>
        <w:tab/>
        <w:t>(2)</w:t>
      </w:r>
      <w:r>
        <w:rPr>
          <w:snapToGrid w:val="0"/>
        </w:rPr>
        <w:tab/>
        <w:t>The Commissioner may recover the amount in a court of competent jurisdiction as a debt due to the Crown.</w:t>
      </w:r>
    </w:p>
    <w:p>
      <w:pPr>
        <w:pStyle w:val="Subsection"/>
        <w:rPr>
          <w:snapToGrid w:val="0"/>
        </w:rPr>
      </w:pPr>
      <w:r>
        <w:rPr>
          <w:snapToGrid w:val="0"/>
        </w:rPr>
        <w:tab/>
        <w:t>(3)</w:t>
      </w:r>
      <w:r>
        <w:rPr>
          <w:snapToGrid w:val="0"/>
        </w:rPr>
        <w:tab/>
        <w:t>The Commissioner may remit not more than one half of the amount.</w:t>
      </w:r>
    </w:p>
    <w:p>
      <w:pPr>
        <w:pStyle w:val="Heading5"/>
        <w:rPr>
          <w:snapToGrid w:val="0"/>
        </w:rPr>
      </w:pPr>
      <w:bookmarkStart w:id="190" w:name="_Toc469893063"/>
      <w:bookmarkStart w:id="191" w:name="_Toc527535620"/>
      <w:bookmarkStart w:id="192" w:name="_Toc530207244"/>
      <w:r>
        <w:rPr>
          <w:rStyle w:val="CharSectno"/>
        </w:rPr>
        <w:t>64</w:t>
      </w:r>
      <w:r>
        <w:rPr>
          <w:snapToGrid w:val="0"/>
        </w:rPr>
        <w:t>.</w:t>
      </w:r>
      <w:r>
        <w:rPr>
          <w:snapToGrid w:val="0"/>
        </w:rPr>
        <w:tab/>
        <w:t>Offences</w:t>
      </w:r>
      <w:bookmarkEnd w:id="190"/>
      <w:bookmarkEnd w:id="191"/>
      <w:bookmarkEnd w:id="192"/>
      <w:r>
        <w:rPr>
          <w:snapToGrid w:val="0"/>
        </w:rPr>
        <w:t xml:space="preserve"> </w:t>
      </w:r>
    </w:p>
    <w:p>
      <w:pPr>
        <w:pStyle w:val="Subsection"/>
        <w:rPr>
          <w:snapToGrid w:val="0"/>
        </w:rPr>
      </w:pPr>
      <w:r>
        <w:rPr>
          <w:snapToGrid w:val="0"/>
        </w:rPr>
        <w:tab/>
        <w:t>(1)</w:t>
      </w:r>
      <w:r>
        <w:rPr>
          <w:snapToGrid w:val="0"/>
        </w:rPr>
        <w:tab/>
        <w:t>If a person uses a permit for a purpose under this Act and the permit has not been issued to that person, the person commits an offence.</w:t>
      </w:r>
    </w:p>
    <w:p>
      <w:pPr>
        <w:pStyle w:val="Subsection"/>
        <w:rPr>
          <w:snapToGrid w:val="0"/>
        </w:rPr>
      </w:pPr>
      <w:r>
        <w:rPr>
          <w:snapToGrid w:val="0"/>
        </w:rPr>
        <w:tab/>
        <w:t>(2)</w:t>
      </w:r>
      <w:r>
        <w:rPr>
          <w:snapToGrid w:val="0"/>
        </w:rPr>
        <w:tab/>
        <w:t>A person who uses a permit that is cancelled commits an offence.</w:t>
      </w:r>
    </w:p>
    <w:p>
      <w:pPr>
        <w:pStyle w:val="Heading5"/>
        <w:rPr>
          <w:snapToGrid w:val="0"/>
        </w:rPr>
      </w:pPr>
      <w:bookmarkStart w:id="193" w:name="_Toc469893064"/>
      <w:bookmarkStart w:id="194" w:name="_Toc527535621"/>
      <w:bookmarkStart w:id="195" w:name="_Toc530207245"/>
      <w:r>
        <w:rPr>
          <w:rStyle w:val="CharSectno"/>
        </w:rPr>
        <w:t>65</w:t>
      </w:r>
      <w:r>
        <w:rPr>
          <w:snapToGrid w:val="0"/>
        </w:rPr>
        <w:t>.</w:t>
      </w:r>
      <w:r>
        <w:rPr>
          <w:snapToGrid w:val="0"/>
        </w:rPr>
        <w:tab/>
        <w:t>General penalty</w:t>
      </w:r>
      <w:bookmarkEnd w:id="193"/>
      <w:bookmarkEnd w:id="194"/>
      <w:bookmarkEnd w:id="195"/>
      <w:r>
        <w:rPr>
          <w:snapToGrid w:val="0"/>
        </w:rPr>
        <w:t xml:space="preserve"> </w:t>
      </w:r>
    </w:p>
    <w:p>
      <w:pPr>
        <w:pStyle w:val="Subsection"/>
        <w:rPr>
          <w:snapToGrid w:val="0"/>
        </w:rPr>
      </w:pPr>
      <w:r>
        <w:rPr>
          <w:snapToGrid w:val="0"/>
        </w:rPr>
        <w:tab/>
      </w:r>
      <w:r>
        <w:rPr>
          <w:snapToGrid w:val="0"/>
        </w:rPr>
        <w:tab/>
        <w:t>The penalty for an offence under this Act is $20 000 unless otherwise stated.</w:t>
      </w:r>
    </w:p>
    <w:p>
      <w:pPr>
        <w:pStyle w:val="Heading5"/>
      </w:pPr>
      <w:bookmarkStart w:id="196" w:name="_Toc469893065"/>
      <w:bookmarkStart w:id="197" w:name="_Toc527535622"/>
      <w:bookmarkStart w:id="198" w:name="_Toc530207246"/>
      <w:r>
        <w:rPr>
          <w:rStyle w:val="CharSectno"/>
        </w:rPr>
        <w:t>66</w:t>
      </w:r>
      <w:r>
        <w:t>.</w:t>
      </w:r>
      <w:r>
        <w:tab/>
        <w:t>Subsidies to cease for diesel supplied on or after 1 July 2000</w:t>
      </w:r>
      <w:bookmarkEnd w:id="196"/>
      <w:bookmarkEnd w:id="197"/>
      <w:bookmarkEnd w:id="198"/>
    </w:p>
    <w:p>
      <w:pPr>
        <w:pStyle w:val="Subsection"/>
      </w:pPr>
      <w:r>
        <w:tab/>
        <w:t>(1)</w:t>
      </w:r>
      <w:r>
        <w:tab/>
        <w:t>This section applies despite the other sections of this Act.</w:t>
      </w:r>
    </w:p>
    <w:p>
      <w:pPr>
        <w:pStyle w:val="Subsection"/>
      </w:pPr>
      <w:r>
        <w:tab/>
        <w:t>(2)</w:t>
      </w:r>
      <w:r>
        <w:tab/>
        <w:t>On and after 1 July 2000 —</w:t>
      </w:r>
    </w:p>
    <w:p>
      <w:pPr>
        <w:pStyle w:val="Indenta"/>
      </w:pPr>
      <w:r>
        <w:tab/>
        <w:t>(a)</w:t>
      </w:r>
      <w:r>
        <w:tab/>
        <w:t>diesel is no longer required to be supplied under this Act at the general subsidized price;</w:t>
      </w:r>
    </w:p>
    <w:p>
      <w:pPr>
        <w:pStyle w:val="Indenta"/>
      </w:pPr>
      <w:r>
        <w:tab/>
        <w:t>(b)</w:t>
      </w:r>
      <w:r>
        <w:tab/>
        <w:t>diesel is no longer required to be supplied under this Act at the ORD subsidized price; and</w:t>
      </w:r>
    </w:p>
    <w:p>
      <w:pPr>
        <w:pStyle w:val="Indenta"/>
      </w:pPr>
      <w:r>
        <w:tab/>
        <w:t>(c)</w:t>
      </w:r>
      <w:r>
        <w:tab/>
        <w:t>neither a general diesel subsidy nor an ORD subsidy is to be paid under this Act in respect of diesel supplied or used by a licensed supplier on or after 1 July 2000.</w:t>
      </w:r>
    </w:p>
    <w:p>
      <w:pPr>
        <w:pStyle w:val="Subsection"/>
      </w:pPr>
      <w:r>
        <w:tab/>
        <w:t>(3)</w:t>
      </w:r>
      <w:r>
        <w:tab/>
        <w:t>On 1 July 2000 —</w:t>
      </w:r>
    </w:p>
    <w:p>
      <w:pPr>
        <w:pStyle w:val="Indenta"/>
      </w:pPr>
      <w:r>
        <w:tab/>
        <w:t>(a)</w:t>
      </w:r>
      <w:r>
        <w:tab/>
        <w:t>this Act ceases to apply to or in respect of diesel supplied on or after 1 July 2000;</w:t>
      </w:r>
    </w:p>
    <w:p>
      <w:pPr>
        <w:pStyle w:val="Indenta"/>
      </w:pPr>
      <w:r>
        <w:tab/>
        <w:t>(b)</w:t>
      </w:r>
      <w:r>
        <w:tab/>
        <w:t>this Act ceases to apply to or in respect of diesel used by a licensed supplier on or after 1 July 2000; and</w:t>
      </w:r>
    </w:p>
    <w:p>
      <w:pPr>
        <w:pStyle w:val="Indenta"/>
      </w:pPr>
      <w:r>
        <w:tab/>
        <w:t>(c)</w:t>
      </w:r>
      <w:r>
        <w:tab/>
        <w:t>sections 6(1), (2) and (3), 38(1) and 39(1) cease to operate.</w:t>
      </w:r>
    </w:p>
    <w:p>
      <w:pPr>
        <w:pStyle w:val="Subsection"/>
      </w:pPr>
      <w:r>
        <w:tab/>
        <w:t>(4)</w:t>
      </w:r>
      <w:r>
        <w:tab/>
        <w:t>On and after 1 July 2000 sections 29(1)(a) and (c), 31, 32 and 33 apply in respect of diesel supplied before then at the ORD subsidized price to a certified user that is not a licensed supplier.</w:t>
      </w:r>
    </w:p>
    <w:p>
      <w:pPr>
        <w:pStyle w:val="Subsection"/>
      </w:pPr>
      <w:r>
        <w:tab/>
        <w:t>(5)</w:t>
      </w:r>
      <w:r>
        <w:tab/>
        <w:t>Sections 12(3), 21(3) and 29(1)(a) cease to operate on a day prescribed by the regulations that is after 1 July 2000.</w:t>
      </w:r>
    </w:p>
    <w:p>
      <w:pPr>
        <w:pStyle w:val="Footnotesection"/>
      </w:pPr>
      <w:r>
        <w:tab/>
        <w:t>[Section 66 inserted by No. 53 of 1999 s. 13.]</w:t>
      </w:r>
    </w:p>
    <w:p>
      <w:pPr>
        <w:pStyle w:val="Ednotesection"/>
      </w:pPr>
      <w:r>
        <w:t>[</w:t>
      </w:r>
      <w:r>
        <w:rPr>
          <w:b/>
        </w:rPr>
        <w:t>67.</w:t>
      </w:r>
      <w:r>
        <w:tab/>
      </w:r>
      <w:r>
        <w:tab/>
        <w:t>Omitted under the Reprints Act 1984 s. 7(4)(g).]</w:t>
      </w:r>
    </w:p>
    <w:p>
      <w:pPr>
        <w:pStyle w:val="Heading5"/>
        <w:rPr>
          <w:snapToGrid w:val="0"/>
        </w:rPr>
      </w:pPr>
      <w:bookmarkStart w:id="199" w:name="_Toc469893067"/>
      <w:bookmarkStart w:id="200" w:name="_Toc527535624"/>
      <w:bookmarkStart w:id="201" w:name="_Toc530207247"/>
      <w:r>
        <w:rPr>
          <w:rStyle w:val="CharSectno"/>
        </w:rPr>
        <w:t>68</w:t>
      </w:r>
      <w:r>
        <w:rPr>
          <w:snapToGrid w:val="0"/>
        </w:rPr>
        <w:t>.</w:t>
      </w:r>
      <w:r>
        <w:rPr>
          <w:snapToGrid w:val="0"/>
        </w:rPr>
        <w:tab/>
        <w:t>Regulations</w:t>
      </w:r>
      <w:bookmarkEnd w:id="199"/>
      <w:bookmarkEnd w:id="200"/>
      <w:bookmarkEnd w:id="20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69.</w:t>
      </w:r>
      <w:r>
        <w:tab/>
      </w:r>
      <w:r>
        <w:tab/>
        <w:t>Repealed by No. 53 of 1999 s. 14.]</w:t>
      </w:r>
    </w:p>
    <w:p>
      <w:pPr>
        <w:pStyle w:val="Heading5"/>
        <w:rPr>
          <w:snapToGrid w:val="0"/>
        </w:rPr>
      </w:pPr>
      <w:bookmarkStart w:id="202" w:name="_Toc469893068"/>
      <w:bookmarkStart w:id="203" w:name="_Toc527535625"/>
      <w:bookmarkStart w:id="204" w:name="_Toc530207248"/>
      <w:r>
        <w:rPr>
          <w:rStyle w:val="CharSectno"/>
        </w:rPr>
        <w:t>70</w:t>
      </w:r>
      <w:r>
        <w:rPr>
          <w:snapToGrid w:val="0"/>
        </w:rPr>
        <w:t>.</w:t>
      </w:r>
      <w:r>
        <w:rPr>
          <w:snapToGrid w:val="0"/>
        </w:rPr>
        <w:tab/>
        <w:t>Act to expire</w:t>
      </w:r>
      <w:bookmarkEnd w:id="202"/>
      <w:bookmarkEnd w:id="203"/>
      <w:bookmarkEnd w:id="204"/>
      <w:r>
        <w:rPr>
          <w:snapToGrid w:val="0"/>
        </w:rPr>
        <w:t xml:space="preserve"> </w:t>
      </w:r>
    </w:p>
    <w:p>
      <w:pPr>
        <w:pStyle w:val="Subsection"/>
        <w:rPr>
          <w:snapToGrid w:val="0"/>
        </w:rPr>
      </w:pPr>
      <w:r>
        <w:rPr>
          <w:snapToGrid w:val="0"/>
        </w:rPr>
        <w:tab/>
        <w:t>(1)</w:t>
      </w:r>
      <w:r>
        <w:rPr>
          <w:snapToGrid w:val="0"/>
        </w:rPr>
        <w:tab/>
        <w:t>This Act expires 5 years after the date on which it receives the Royal Assent.</w:t>
      </w:r>
    </w:p>
    <w:p>
      <w:pPr>
        <w:pStyle w:val="Subsection"/>
        <w:rPr>
          <w:snapToGrid w:val="0"/>
        </w:rPr>
      </w:pPr>
      <w:r>
        <w:rPr>
          <w:snapToGrid w:val="0"/>
        </w:rPr>
        <w:tab/>
        <w:t>(2)</w:t>
      </w:r>
      <w:r>
        <w:rPr>
          <w:snapToGrid w:val="0"/>
        </w:rPr>
        <w:tab/>
        <w:t xml:space="preserve">Without otherwise limiting the operation of section 37 of the </w:t>
      </w:r>
      <w:r>
        <w:rPr>
          <w:i/>
          <w:snapToGrid w:val="0"/>
        </w:rPr>
        <w:t>Interpretation Act 1984</w:t>
      </w:r>
      <w:r>
        <w:rPr>
          <w:snapToGrid w:val="0"/>
        </w:rPr>
        <w:t>, a person who commits an offence under this Act before it expires may be punished after it expires to the same extent as the person could have been punished immediately before the expiry.</w:t>
      </w:r>
    </w:p>
    <w:p>
      <w:pPr>
        <w:pStyle w:val="Ednotesection"/>
        <w:spacing w:before="440"/>
        <w:ind w:left="890" w:hanging="890"/>
      </w:pPr>
      <w:r>
        <w:tab/>
      </w:r>
      <w:r>
        <w:tab/>
        <w:t>[Schedule 1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Fuel Suppliers Licensing Act 1997</w:t>
      </w:r>
      <w:r>
        <w:rPr>
          <w:snapToGrid w:val="0"/>
        </w:rPr>
        <w:t xml:space="preserve"> and includes the amendments made by the other written laws referred to in the following table.</w:t>
      </w:r>
    </w:p>
    <w:p>
      <w:pPr>
        <w:pStyle w:val="nHeading3"/>
        <w:spacing w:before="160" w:after="80"/>
        <w:rPr>
          <w:snapToGrid w:val="0"/>
        </w:rPr>
      </w:pPr>
      <w:bookmarkStart w:id="205" w:name="_Toc530207249"/>
      <w:r>
        <w:rPr>
          <w:snapToGrid w:val="0"/>
        </w:rPr>
        <w:t>Compilation table</w:t>
      </w:r>
      <w:bookmarkEnd w:id="2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Fuel Suppliers Licensing and Diesel Subsidies Act 1997</w:t>
            </w:r>
            <w:r>
              <w:rPr>
                <w:sz w:val="19"/>
                <w:vertAlign w:val="superscript"/>
              </w:rPr>
              <w:t> 3, 4</w:t>
            </w:r>
          </w:p>
        </w:tc>
        <w:tc>
          <w:tcPr>
            <w:tcW w:w="1134" w:type="dxa"/>
          </w:tcPr>
          <w:p>
            <w:pPr>
              <w:pStyle w:val="nTable"/>
              <w:spacing w:before="120"/>
              <w:rPr>
                <w:sz w:val="19"/>
              </w:rPr>
            </w:pPr>
            <w:r>
              <w:rPr>
                <w:sz w:val="19"/>
              </w:rPr>
              <w:t>55 of 1997</w:t>
            </w:r>
          </w:p>
        </w:tc>
        <w:tc>
          <w:tcPr>
            <w:tcW w:w="1134" w:type="dxa"/>
          </w:tcPr>
          <w:p>
            <w:pPr>
              <w:pStyle w:val="nTable"/>
              <w:spacing w:before="120"/>
              <w:rPr>
                <w:sz w:val="19"/>
              </w:rPr>
            </w:pPr>
            <w:r>
              <w:rPr>
                <w:sz w:val="19"/>
              </w:rPr>
              <w:t>12 Dec 1997</w:t>
            </w:r>
          </w:p>
        </w:tc>
        <w:tc>
          <w:tcPr>
            <w:tcW w:w="2552" w:type="dxa"/>
          </w:tcPr>
          <w:p>
            <w:pPr>
              <w:pStyle w:val="nTable"/>
              <w:spacing w:before="12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120"/>
              <w:ind w:right="113"/>
              <w:rPr>
                <w:sz w:val="19"/>
              </w:rPr>
            </w:pPr>
            <w:r>
              <w:rPr>
                <w:i/>
                <w:sz w:val="19"/>
              </w:rPr>
              <w:t xml:space="preserve">Revenue Laws Amendment (Assessment) Act 1998 </w:t>
            </w:r>
            <w:r>
              <w:rPr>
                <w:sz w:val="19"/>
              </w:rPr>
              <w:t>Pt. 2</w:t>
            </w:r>
          </w:p>
        </w:tc>
        <w:tc>
          <w:tcPr>
            <w:tcW w:w="1134" w:type="dxa"/>
          </w:tcPr>
          <w:p>
            <w:pPr>
              <w:pStyle w:val="nTable"/>
              <w:spacing w:before="120"/>
              <w:rPr>
                <w:sz w:val="19"/>
              </w:rPr>
            </w:pPr>
            <w:r>
              <w:rPr>
                <w:sz w:val="19"/>
              </w:rPr>
              <w:t>22 of 1998</w:t>
            </w:r>
          </w:p>
        </w:tc>
        <w:tc>
          <w:tcPr>
            <w:tcW w:w="1134" w:type="dxa"/>
          </w:tcPr>
          <w:p>
            <w:pPr>
              <w:pStyle w:val="nTable"/>
              <w:spacing w:before="120"/>
              <w:rPr>
                <w:sz w:val="19"/>
              </w:rPr>
            </w:pPr>
            <w:r>
              <w:rPr>
                <w:sz w:val="19"/>
              </w:rPr>
              <w:t>30 Jun 1998</w:t>
            </w:r>
          </w:p>
        </w:tc>
        <w:tc>
          <w:tcPr>
            <w:tcW w:w="2552" w:type="dxa"/>
          </w:tcPr>
          <w:p>
            <w:pPr>
              <w:pStyle w:val="nTable"/>
              <w:spacing w:before="120"/>
              <w:rPr>
                <w:sz w:val="19"/>
              </w:rPr>
            </w:pPr>
            <w:r>
              <w:rPr>
                <w:sz w:val="19"/>
              </w:rPr>
              <w:t xml:space="preserve">21 Jul 1998 (see s. 2(1) and </w:t>
            </w:r>
            <w:r>
              <w:rPr>
                <w:i/>
                <w:sz w:val="19"/>
              </w:rPr>
              <w:t>Gazette</w:t>
            </w:r>
            <w:r>
              <w:rPr>
                <w:sz w:val="19"/>
              </w:rPr>
              <w:t xml:space="preserve"> 21 Jul 1998 p. 3826)</w:t>
            </w:r>
          </w:p>
        </w:tc>
      </w:tr>
      <w:tr>
        <w:trPr>
          <w:cantSplit/>
        </w:trPr>
        <w:tc>
          <w:tcPr>
            <w:tcW w:w="2268" w:type="dxa"/>
          </w:tcPr>
          <w:p>
            <w:pPr>
              <w:pStyle w:val="nTable"/>
              <w:spacing w:before="120"/>
              <w:ind w:right="113"/>
              <w:rPr>
                <w:sz w:val="19"/>
              </w:rPr>
            </w:pPr>
            <w:r>
              <w:rPr>
                <w:i/>
                <w:sz w:val="19"/>
              </w:rPr>
              <w:t xml:space="preserve">Revenue Laws Amendment (Assessment) Act (No. 2) 1998 </w:t>
            </w:r>
            <w:r>
              <w:rPr>
                <w:sz w:val="19"/>
              </w:rPr>
              <w:t>Pt. 2</w:t>
            </w:r>
          </w:p>
        </w:tc>
        <w:tc>
          <w:tcPr>
            <w:tcW w:w="1134" w:type="dxa"/>
          </w:tcPr>
          <w:p>
            <w:pPr>
              <w:pStyle w:val="nTable"/>
              <w:spacing w:before="120"/>
              <w:rPr>
                <w:sz w:val="19"/>
              </w:rPr>
            </w:pPr>
            <w:r>
              <w:rPr>
                <w:sz w:val="19"/>
              </w:rPr>
              <w:t>58 of 1998</w:t>
            </w:r>
          </w:p>
        </w:tc>
        <w:tc>
          <w:tcPr>
            <w:tcW w:w="1134" w:type="dxa"/>
          </w:tcPr>
          <w:p>
            <w:pPr>
              <w:pStyle w:val="nTable"/>
              <w:spacing w:before="120"/>
              <w:rPr>
                <w:sz w:val="19"/>
              </w:rPr>
            </w:pPr>
            <w:r>
              <w:rPr>
                <w:sz w:val="19"/>
              </w:rPr>
              <w:t>18 Dec 1998</w:t>
            </w:r>
          </w:p>
        </w:tc>
        <w:tc>
          <w:tcPr>
            <w:tcW w:w="2552" w:type="dxa"/>
          </w:tcPr>
          <w:p>
            <w:pPr>
              <w:pStyle w:val="nTable"/>
              <w:spacing w:before="120"/>
              <w:rPr>
                <w:sz w:val="19"/>
              </w:rPr>
            </w:pPr>
            <w:r>
              <w:rPr>
                <w:sz w:val="19"/>
              </w:rPr>
              <w:t>18 Dec 1998 (see s. 2(1))</w:t>
            </w:r>
          </w:p>
        </w:tc>
      </w:tr>
      <w:tr>
        <w:trPr>
          <w:cantSplit/>
        </w:trPr>
        <w:tc>
          <w:tcPr>
            <w:tcW w:w="2268" w:type="dxa"/>
          </w:tcPr>
          <w:p>
            <w:pPr>
              <w:pStyle w:val="nTable"/>
              <w:spacing w:before="120"/>
              <w:ind w:right="113"/>
              <w:rPr>
                <w:sz w:val="19"/>
                <w:vertAlign w:val="superscript"/>
              </w:rPr>
            </w:pPr>
            <w:r>
              <w:rPr>
                <w:i/>
                <w:sz w:val="19"/>
              </w:rPr>
              <w:t xml:space="preserve">Financial Relations Agreement (Consequential Provisions) Act 1999 </w:t>
            </w:r>
            <w:r>
              <w:rPr>
                <w:sz w:val="19"/>
              </w:rPr>
              <w:t>Pt. 3 </w:t>
            </w:r>
            <w:r>
              <w:rPr>
                <w:sz w:val="19"/>
                <w:vertAlign w:val="superscript"/>
              </w:rPr>
              <w:t>5</w:t>
            </w:r>
          </w:p>
        </w:tc>
        <w:tc>
          <w:tcPr>
            <w:tcW w:w="1134" w:type="dxa"/>
          </w:tcPr>
          <w:p>
            <w:pPr>
              <w:pStyle w:val="nTable"/>
              <w:spacing w:before="120"/>
              <w:rPr>
                <w:sz w:val="19"/>
              </w:rPr>
            </w:pPr>
            <w:r>
              <w:rPr>
                <w:sz w:val="19"/>
              </w:rPr>
              <w:t>53 of 1999</w:t>
            </w:r>
          </w:p>
        </w:tc>
        <w:tc>
          <w:tcPr>
            <w:tcW w:w="1134" w:type="dxa"/>
          </w:tcPr>
          <w:p>
            <w:pPr>
              <w:pStyle w:val="nTable"/>
              <w:spacing w:before="120"/>
              <w:rPr>
                <w:sz w:val="19"/>
              </w:rPr>
            </w:pPr>
            <w:r>
              <w:rPr>
                <w:sz w:val="19"/>
              </w:rPr>
              <w:t>13 Dec 1999</w:t>
            </w:r>
          </w:p>
        </w:tc>
        <w:tc>
          <w:tcPr>
            <w:tcW w:w="2552" w:type="dxa"/>
          </w:tcPr>
          <w:p>
            <w:pPr>
              <w:pStyle w:val="nTable"/>
              <w:spacing w:before="120"/>
              <w:rPr>
                <w:sz w:val="19"/>
              </w:rPr>
            </w:pPr>
            <w:r>
              <w:rPr>
                <w:sz w:val="19"/>
              </w:rPr>
              <w:t>13 Dec 1999 (see s. 2(1))</w:t>
            </w:r>
          </w:p>
        </w:tc>
      </w:tr>
      <w:tr>
        <w:trPr>
          <w:cantSplit/>
        </w:trPr>
        <w:tc>
          <w:tcPr>
            <w:tcW w:w="7088" w:type="dxa"/>
            <w:gridSpan w:val="4"/>
            <w:tcBorders>
              <w:bottom w:val="single" w:sz="8" w:space="0" w:color="auto"/>
            </w:tcBorders>
          </w:tcPr>
          <w:p>
            <w:pPr>
              <w:pStyle w:val="nTable"/>
              <w:spacing w:before="120"/>
              <w:rPr>
                <w:sz w:val="19"/>
              </w:rPr>
            </w:pPr>
            <w:r>
              <w:rPr>
                <w:b/>
                <w:sz w:val="19"/>
              </w:rPr>
              <w:t xml:space="preserve">Reprint of the </w:t>
            </w:r>
            <w:r>
              <w:rPr>
                <w:b/>
                <w:i/>
                <w:sz w:val="19"/>
              </w:rPr>
              <w:t>Fuel Suppliers Licensing Act 1997</w:t>
            </w:r>
            <w:r>
              <w:rPr>
                <w:b/>
                <w:sz w:val="19"/>
              </w:rPr>
              <w:t xml:space="preserve"> as at 9 Nov 2001</w:t>
            </w:r>
            <w:r>
              <w:rPr>
                <w:sz w:val="19"/>
              </w:rPr>
              <w:br/>
              <w:t>(includes amendments listed above</w:t>
            </w:r>
          </w:p>
        </w:tc>
      </w:tr>
    </w:tbl>
    <w:p>
      <w:pPr>
        <w:pStyle w:val="nSubsection"/>
      </w:pPr>
      <w:r>
        <w:rPr>
          <w:vertAlign w:val="superscript"/>
        </w:rPr>
        <w:t>2</w:t>
      </w:r>
      <w:r>
        <w:tab/>
        <w:t xml:space="preserve">Under the </w:t>
      </w:r>
      <w:r>
        <w:rPr>
          <w:i/>
        </w:rPr>
        <w:t>Alteration of Statutory Designations Order (No. 3) 2001</w:t>
      </w:r>
      <w:r>
        <w:t xml:space="preserve"> the former Treasury Department is now called the Department of Treasury and Finance.</w:t>
      </w:r>
    </w:p>
    <w:p>
      <w:pPr>
        <w:pStyle w:val="nSubsection"/>
      </w:pPr>
      <w:r>
        <w:rPr>
          <w:vertAlign w:val="superscript"/>
        </w:rPr>
        <w:t>3</w:t>
      </w:r>
      <w:r>
        <w:tab/>
        <w:t xml:space="preserve">Now known as the </w:t>
      </w:r>
      <w:r>
        <w:rPr>
          <w:i/>
        </w:rPr>
        <w:t>Fuel Suppliers Licensing Act 1997</w:t>
      </w:r>
      <w:r>
        <w:t>; short title changed (see note under s. 1).</w:t>
      </w:r>
    </w:p>
    <w:p>
      <w:pPr>
        <w:pStyle w:val="nSubsection"/>
      </w:pPr>
      <w:r>
        <w:rPr>
          <w:vertAlign w:val="superscript"/>
        </w:rPr>
        <w:t>4</w:t>
      </w:r>
      <w:r>
        <w:rPr>
          <w:vertAlign w:val="superscript"/>
        </w:rPr>
        <w:tab/>
      </w:r>
      <w:r>
        <w:t xml:space="preserve">The Principal Act expires 5 years after the date of assent ie. on 13 Dec 2002 </w:t>
      </w:r>
      <w:r>
        <w:br/>
        <w:t>(see s. 70(1)).</w:t>
      </w:r>
    </w:p>
    <w:p>
      <w:pPr>
        <w:pStyle w:val="nSubsection"/>
      </w:pPr>
      <w:r>
        <w:rPr>
          <w:vertAlign w:val="superscript"/>
        </w:rPr>
        <w:t>5</w:t>
      </w:r>
      <w:r>
        <w:rPr>
          <w:vertAlign w:val="superscript"/>
        </w:rPr>
        <w:tab/>
      </w:r>
      <w:r>
        <w:t>The</w:t>
      </w:r>
      <w:r>
        <w:rPr>
          <w:i/>
        </w:rPr>
        <w:t xml:space="preserve"> Financial Relations Agreement (Consequential Provisions) Act 1999 </w:t>
      </w:r>
      <w:r>
        <w:t>s. 3 reads as follows:</w:t>
      </w:r>
    </w:p>
    <w:p>
      <w:pPr>
        <w:pStyle w:val="MiscOpen"/>
      </w:pPr>
      <w:r>
        <w:t>“</w:t>
      </w:r>
    </w:p>
    <w:p>
      <w:pPr>
        <w:pStyle w:val="nzHeading5"/>
        <w:spacing w:before="0"/>
      </w:pPr>
      <w:bookmarkStart w:id="206" w:name="_Toc462633402"/>
      <w:bookmarkStart w:id="207" w:name="_Toc469906866"/>
      <w:bookmarkStart w:id="208" w:name="_Toc485615097"/>
      <w:r>
        <w:rPr>
          <w:rStyle w:val="CharSectno"/>
        </w:rPr>
        <w:t>3</w:t>
      </w:r>
      <w:r>
        <w:t>.</w:t>
      </w:r>
      <w:r>
        <w:tab/>
        <w:t>Objectives</w:t>
      </w:r>
      <w:bookmarkEnd w:id="206"/>
      <w:bookmarkEnd w:id="207"/>
      <w:bookmarkEnd w:id="208"/>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MiscClose"/>
        <w:spacing w:after="80"/>
      </w:pPr>
      <w:r>
        <w: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Fuel Suppliers Licensing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Fuel Suppliers Licensing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Fuel Suppliers Licensing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Fuel Suppliers Licensing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Fuel Suppliers Licensing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Fuel Suppliers Licensing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Fuel Suppliers Licensing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Fuel Suppliers Licensing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622"/>
    <w:docVar w:name="WAFER_20151211141622" w:val="RemoveTrackChanges"/>
    <w:docVar w:name="WAFER_20151211141622_GUID" w:val="6c483a5d-be60-411c-b67e-644355b86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9322</Words>
  <Characters>45120</Characters>
  <Application>Microsoft Office Word</Application>
  <DocSecurity>0</DocSecurity>
  <Lines>1219</Lines>
  <Paragraphs>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Suppliers Licensing Act 1997 - 01-a0-03</dc:title>
  <dc:subject/>
  <dc:creator/>
  <cp:keywords/>
  <dc:description/>
  <cp:lastModifiedBy>svcMRProcess</cp:lastModifiedBy>
  <cp:revision>4</cp:revision>
  <cp:lastPrinted>2006-04-06T09:03:00Z</cp:lastPrinted>
  <dcterms:created xsi:type="dcterms:W3CDTF">2015-12-14T12:30:00Z</dcterms:created>
  <dcterms:modified xsi:type="dcterms:W3CDTF">2015-12-14T12:30:00Z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1997</vt:lpwstr>
  </property>
  <property fmtid="{D5CDD505-2E9C-101B-9397-08002B2CF9AE}" pid="3" name="CommencementDate">
    <vt:lpwstr>20011109</vt:lpwstr>
  </property>
  <property fmtid="{D5CDD505-2E9C-101B-9397-08002B2CF9AE}" pid="4" name="DocumentType">
    <vt:lpwstr>Act</vt:lpwstr>
  </property>
  <property fmtid="{D5CDD505-2E9C-101B-9397-08002B2CF9AE}" pid="5" name="AsAtDate">
    <vt:lpwstr>09 Nov 2001</vt:lpwstr>
  </property>
  <property fmtid="{D5CDD505-2E9C-101B-9397-08002B2CF9AE}" pid="6" name="Suffix">
    <vt:lpwstr>01-a0-03</vt:lpwstr>
  </property>
</Properties>
</file>