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Country Towns Sewerage Act 1948</w:t>
      </w:r>
      <w:r>
        <w:rPr>
          <w:snapToGrid w:val="0"/>
          <w:vertAlign w:val="superscript"/>
        </w:rPr>
        <w:t> </w:t>
      </w:r>
    </w:p>
    <w:p>
      <w:pPr>
        <w:pStyle w:val="NameofActRegPage1"/>
        <w:spacing w:before="1800" w:after="4200"/>
      </w:pPr>
      <w:r>
        <w:fldChar w:fldCharType="begin"/>
      </w:r>
      <w:r>
        <w:instrText xml:space="preserve"> STYLEREF "Name Of Act/Reg"</w:instrText>
      </w:r>
      <w:r>
        <w:fldChar w:fldCharType="separate"/>
      </w:r>
      <w:r>
        <w:rPr>
          <w:noProof/>
        </w:rPr>
        <w:t>Country Towns Sewerage By-laws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_Toc207441673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by-laws</w:t>
      </w:r>
      <w:r>
        <w:tab/>
      </w:r>
      <w:r>
        <w:fldChar w:fldCharType="begin"/>
      </w:r>
      <w:r>
        <w:instrText xml:space="preserve"> PAGEREF _Toc207441674 \h </w:instrText>
      </w:r>
      <w:r>
        <w:fldChar w:fldCharType="separate"/>
      </w:r>
      <w:r>
        <w:t>1</w:t>
      </w:r>
      <w:r>
        <w:fldChar w:fldCharType="end"/>
      </w:r>
    </w:p>
    <w:p>
      <w:pPr>
        <w:pStyle w:val="TOC2"/>
        <w:tabs>
          <w:tab w:val="right" w:leader="dot" w:pos="7086"/>
        </w:tabs>
        <w:rPr>
          <w:b w:val="0"/>
          <w:sz w:val="24"/>
          <w:szCs w:val="24"/>
        </w:rPr>
      </w:pPr>
      <w:r>
        <w:rPr>
          <w:szCs w:val="30"/>
        </w:rPr>
        <w:t>Part 2 — Protection of water, grounds, etc.</w:t>
      </w:r>
    </w:p>
    <w:p>
      <w:pPr>
        <w:pStyle w:val="TOC8"/>
        <w:rPr>
          <w:sz w:val="24"/>
          <w:szCs w:val="24"/>
        </w:rPr>
      </w:pPr>
      <w:r>
        <w:rPr>
          <w:szCs w:val="24"/>
        </w:rPr>
        <w:t>3</w:t>
      </w:r>
      <w:r>
        <w:rPr>
          <w:snapToGrid w:val="0"/>
          <w:szCs w:val="24"/>
        </w:rPr>
        <w:t>.</w:t>
      </w:r>
      <w:r>
        <w:rPr>
          <w:snapToGrid w:val="0"/>
          <w:szCs w:val="24"/>
        </w:rPr>
        <w:tab/>
        <w:t>Trespassing prohibited</w:t>
      </w:r>
      <w:r>
        <w:tab/>
      </w:r>
      <w:r>
        <w:fldChar w:fldCharType="begin"/>
      </w:r>
      <w:r>
        <w:instrText xml:space="preserve"> PAGEREF _Toc207441676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Dogs prohibited</w:t>
      </w:r>
      <w:r>
        <w:tab/>
      </w:r>
      <w:r>
        <w:fldChar w:fldCharType="begin"/>
      </w:r>
      <w:r>
        <w:instrText xml:space="preserve"> PAGEREF _Toc207441677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Disposal of refuse etc. only in receptacles</w:t>
      </w:r>
      <w:r>
        <w:tab/>
      </w:r>
      <w:r>
        <w:fldChar w:fldCharType="begin"/>
      </w:r>
      <w:r>
        <w:instrText xml:space="preserve"> PAGEREF _Toc207441678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Posting or distribution of bills etc. prohibited</w:t>
      </w:r>
      <w:r>
        <w:tab/>
      </w:r>
      <w:r>
        <w:fldChar w:fldCharType="begin"/>
      </w:r>
      <w:r>
        <w:instrText xml:space="preserve"> PAGEREF _Toc207441679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Nuisances prohibited</w:t>
      </w:r>
      <w:r>
        <w:tab/>
      </w:r>
      <w:r>
        <w:fldChar w:fldCharType="begin"/>
      </w:r>
      <w:r>
        <w:instrText xml:space="preserve"> PAGEREF _Toc207441680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works from injury</w:t>
      </w:r>
      <w:r>
        <w:tab/>
      </w:r>
      <w:r>
        <w:fldChar w:fldCharType="begin"/>
      </w:r>
      <w:r>
        <w:instrText xml:space="preserve"> PAGEREF _Toc207441681 \h </w:instrText>
      </w:r>
      <w:r>
        <w:fldChar w:fldCharType="separate"/>
      </w:r>
      <w:r>
        <w:t>5</w:t>
      </w:r>
      <w:r>
        <w:fldChar w:fldCharType="end"/>
      </w:r>
    </w:p>
    <w:p>
      <w:pPr>
        <w:pStyle w:val="TOC2"/>
        <w:tabs>
          <w:tab w:val="right" w:leader="dot" w:pos="7086"/>
        </w:tabs>
        <w:rPr>
          <w:b w:val="0"/>
          <w:sz w:val="24"/>
          <w:szCs w:val="24"/>
        </w:rPr>
      </w:pPr>
      <w:r>
        <w:rPr>
          <w:szCs w:val="30"/>
        </w:rPr>
        <w:t>Part 3 — Provisions related to sanitary plumbing and drainage plumbing</w:t>
      </w:r>
    </w:p>
    <w:p>
      <w:pPr>
        <w:pStyle w:val="TOC8"/>
        <w:rPr>
          <w:sz w:val="24"/>
          <w:szCs w:val="24"/>
        </w:rPr>
      </w:pPr>
      <w:r>
        <w:rPr>
          <w:szCs w:val="24"/>
        </w:rPr>
        <w:t>18</w:t>
      </w:r>
      <w:r>
        <w:rPr>
          <w:snapToGrid w:val="0"/>
          <w:szCs w:val="24"/>
        </w:rPr>
        <w:t>.</w:t>
      </w:r>
      <w:r>
        <w:rPr>
          <w:snapToGrid w:val="0"/>
          <w:szCs w:val="24"/>
        </w:rPr>
        <w:tab/>
        <w:t>Plumber to provide information if required</w:t>
      </w:r>
      <w:r>
        <w:tab/>
      </w:r>
      <w:r>
        <w:fldChar w:fldCharType="begin"/>
      </w:r>
      <w:r>
        <w:instrText xml:space="preserve"> PAGEREF _Toc207441683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Damage to pipes shall be reported</w:t>
      </w:r>
      <w:r>
        <w:tab/>
      </w:r>
      <w:r>
        <w:fldChar w:fldCharType="begin"/>
      </w:r>
      <w:r>
        <w:instrText xml:space="preserve"> PAGEREF _Toc207441684 \h </w:instrText>
      </w:r>
      <w:r>
        <w:fldChar w:fldCharType="separate"/>
      </w:r>
      <w:r>
        <w:t>6</w:t>
      </w:r>
      <w:r>
        <w:fldChar w:fldCharType="end"/>
      </w:r>
    </w:p>
    <w:p>
      <w:pPr>
        <w:pStyle w:val="TOC8"/>
        <w:rPr>
          <w:sz w:val="24"/>
          <w:szCs w:val="24"/>
        </w:rPr>
      </w:pPr>
      <w:r>
        <w:rPr>
          <w:szCs w:val="24"/>
        </w:rPr>
        <w:t>21A</w:t>
      </w:r>
      <w:r>
        <w:rPr>
          <w:snapToGrid w:val="0"/>
          <w:szCs w:val="24"/>
        </w:rPr>
        <w:t>.</w:t>
      </w:r>
      <w:r>
        <w:rPr>
          <w:snapToGrid w:val="0"/>
          <w:szCs w:val="24"/>
        </w:rPr>
        <w:tab/>
        <w:t>Plumber to report certain matters</w:t>
      </w:r>
      <w:r>
        <w:tab/>
      </w:r>
      <w:r>
        <w:fldChar w:fldCharType="begin"/>
      </w:r>
      <w:r>
        <w:instrText xml:space="preserve"> PAGEREF _Toc207441685 \h </w:instrText>
      </w:r>
      <w:r>
        <w:fldChar w:fldCharType="separate"/>
      </w:r>
      <w:r>
        <w:t>7</w:t>
      </w:r>
      <w:r>
        <w:fldChar w:fldCharType="end"/>
      </w:r>
    </w:p>
    <w:p>
      <w:pPr>
        <w:pStyle w:val="TOC2"/>
        <w:tabs>
          <w:tab w:val="right" w:leader="dot" w:pos="7086"/>
        </w:tabs>
        <w:rPr>
          <w:b w:val="0"/>
          <w:sz w:val="24"/>
          <w:szCs w:val="24"/>
        </w:rPr>
      </w:pPr>
      <w:r>
        <w:rPr>
          <w:szCs w:val="30"/>
        </w:rPr>
        <w:t>Part 4 — Sewerage and drainage</w:t>
      </w:r>
    </w:p>
    <w:p>
      <w:pPr>
        <w:pStyle w:val="TOC8"/>
        <w:rPr>
          <w:sz w:val="24"/>
          <w:szCs w:val="24"/>
        </w:rPr>
      </w:pPr>
      <w:r>
        <w:rPr>
          <w:szCs w:val="24"/>
        </w:rPr>
        <w:t>25</w:t>
      </w:r>
      <w:r>
        <w:rPr>
          <w:snapToGrid w:val="0"/>
          <w:szCs w:val="24"/>
        </w:rPr>
        <w:t>.</w:t>
      </w:r>
      <w:r>
        <w:rPr>
          <w:snapToGrid w:val="0"/>
          <w:szCs w:val="24"/>
        </w:rPr>
        <w:tab/>
        <w:t>Procedure for connections to sewer</w:t>
      </w:r>
      <w:r>
        <w:tab/>
      </w:r>
      <w:r>
        <w:fldChar w:fldCharType="begin"/>
      </w:r>
      <w:r>
        <w:instrText xml:space="preserve"> PAGEREF _Toc207441687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Proof of connections having been made</w:t>
      </w:r>
      <w:r>
        <w:tab/>
      </w:r>
      <w:r>
        <w:fldChar w:fldCharType="begin"/>
      </w:r>
      <w:r>
        <w:instrText xml:space="preserve"> PAGEREF _Toc207441688 \h </w:instrText>
      </w:r>
      <w:r>
        <w:fldChar w:fldCharType="separate"/>
      </w:r>
      <w:r>
        <w:t>8</w:t>
      </w:r>
      <w:r>
        <w:fldChar w:fldCharType="end"/>
      </w:r>
    </w:p>
    <w:p>
      <w:pPr>
        <w:pStyle w:val="TOC8"/>
        <w:rPr>
          <w:sz w:val="24"/>
          <w:szCs w:val="24"/>
        </w:rPr>
      </w:pPr>
      <w:r>
        <w:rPr>
          <w:szCs w:val="24"/>
        </w:rPr>
        <w:t>27</w:t>
      </w:r>
      <w:r>
        <w:rPr>
          <w:snapToGrid w:val="0"/>
          <w:szCs w:val="24"/>
        </w:rPr>
        <w:t>.</w:t>
      </w:r>
      <w:r>
        <w:rPr>
          <w:snapToGrid w:val="0"/>
          <w:szCs w:val="24"/>
        </w:rPr>
        <w:tab/>
        <w:t>Work carried out under system of deferred payment</w:t>
      </w:r>
      <w:r>
        <w:tab/>
      </w:r>
      <w:r>
        <w:fldChar w:fldCharType="begin"/>
      </w:r>
      <w:r>
        <w:instrText xml:space="preserve"> PAGEREF _Toc207441689 \h </w:instrText>
      </w:r>
      <w:r>
        <w:fldChar w:fldCharType="separate"/>
      </w:r>
      <w:r>
        <w:t>8</w:t>
      </w:r>
      <w:r>
        <w:fldChar w:fldCharType="end"/>
      </w:r>
    </w:p>
    <w:p>
      <w:pPr>
        <w:pStyle w:val="TOC8"/>
        <w:rPr>
          <w:sz w:val="24"/>
          <w:szCs w:val="24"/>
        </w:rPr>
      </w:pPr>
      <w:r>
        <w:rPr>
          <w:szCs w:val="24"/>
        </w:rPr>
        <w:t>28</w:t>
      </w:r>
      <w:r>
        <w:rPr>
          <w:snapToGrid w:val="0"/>
          <w:szCs w:val="24"/>
        </w:rPr>
        <w:t>.</w:t>
      </w:r>
      <w:r>
        <w:rPr>
          <w:snapToGrid w:val="0"/>
          <w:szCs w:val="24"/>
        </w:rPr>
        <w:tab/>
        <w:t>Maintenance and repairs by Corporation</w:t>
      </w:r>
      <w:r>
        <w:tab/>
      </w:r>
      <w:r>
        <w:fldChar w:fldCharType="begin"/>
      </w:r>
      <w:r>
        <w:instrText xml:space="preserve"> PAGEREF _Toc207441690 \h </w:instrText>
      </w:r>
      <w:r>
        <w:fldChar w:fldCharType="separate"/>
      </w:r>
      <w:r>
        <w:t>9</w:t>
      </w:r>
      <w:r>
        <w:fldChar w:fldCharType="end"/>
      </w:r>
    </w:p>
    <w:p>
      <w:pPr>
        <w:pStyle w:val="TOC8"/>
        <w:rPr>
          <w:sz w:val="24"/>
          <w:szCs w:val="24"/>
        </w:rPr>
      </w:pPr>
      <w:r>
        <w:rPr>
          <w:szCs w:val="24"/>
        </w:rPr>
        <w:t>29</w:t>
      </w:r>
      <w:r>
        <w:rPr>
          <w:snapToGrid w:val="0"/>
          <w:szCs w:val="24"/>
        </w:rPr>
        <w:t>.</w:t>
      </w:r>
      <w:r>
        <w:rPr>
          <w:snapToGrid w:val="0"/>
          <w:szCs w:val="24"/>
        </w:rPr>
        <w:tab/>
        <w:t>Notices, plans and fees for connection to sewerage service</w:t>
      </w:r>
      <w:r>
        <w:tab/>
      </w:r>
      <w:r>
        <w:fldChar w:fldCharType="begin"/>
      </w:r>
      <w:r>
        <w:instrText xml:space="preserve"> PAGEREF _Toc207441691 \h </w:instrText>
      </w:r>
      <w:r>
        <w:fldChar w:fldCharType="separate"/>
      </w:r>
      <w:r>
        <w:t>9</w:t>
      </w:r>
      <w:r>
        <w:fldChar w:fldCharType="end"/>
      </w:r>
    </w:p>
    <w:p>
      <w:pPr>
        <w:pStyle w:val="TOC8"/>
        <w:rPr>
          <w:sz w:val="24"/>
          <w:szCs w:val="24"/>
        </w:rPr>
      </w:pPr>
      <w:r>
        <w:rPr>
          <w:szCs w:val="24"/>
        </w:rPr>
        <w:t>29A.</w:t>
      </w:r>
      <w:r>
        <w:rPr>
          <w:szCs w:val="24"/>
        </w:rPr>
        <w:tab/>
        <w:t>Diagrams of drainage plumbing</w:t>
      </w:r>
      <w:r>
        <w:tab/>
      </w:r>
      <w:r>
        <w:fldChar w:fldCharType="begin"/>
      </w:r>
      <w:r>
        <w:instrText xml:space="preserve"> PAGEREF _Toc207441692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Plan to remain property of owner</w:t>
      </w:r>
      <w:r>
        <w:tab/>
      </w:r>
      <w:r>
        <w:fldChar w:fldCharType="begin"/>
      </w:r>
      <w:r>
        <w:instrText xml:space="preserve"> PAGEREF _Toc207441693 \h </w:instrText>
      </w:r>
      <w:r>
        <w:fldChar w:fldCharType="separate"/>
      </w:r>
      <w:r>
        <w:t>11</w:t>
      </w:r>
      <w:r>
        <w:fldChar w:fldCharType="end"/>
      </w:r>
    </w:p>
    <w:p>
      <w:pPr>
        <w:pStyle w:val="TOC8"/>
        <w:rPr>
          <w:sz w:val="24"/>
          <w:szCs w:val="24"/>
        </w:rPr>
      </w:pPr>
      <w:r>
        <w:rPr>
          <w:szCs w:val="24"/>
        </w:rPr>
        <w:t>31.</w:t>
      </w:r>
      <w:r>
        <w:rPr>
          <w:szCs w:val="24"/>
        </w:rPr>
        <w:tab/>
        <w:t>Prescribed proximity to sewer</w:t>
      </w:r>
      <w:r>
        <w:tab/>
      </w:r>
      <w:r>
        <w:fldChar w:fldCharType="begin"/>
      </w:r>
      <w:r>
        <w:instrText xml:space="preserve"> PAGEREF _Toc207441694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Work incidental to sewerage installations</w:t>
      </w:r>
      <w:r>
        <w:tab/>
      </w:r>
      <w:r>
        <w:fldChar w:fldCharType="begin"/>
      </w:r>
      <w:r>
        <w:instrText xml:space="preserve"> PAGEREF _Toc207441695 \h </w:instrText>
      </w:r>
      <w:r>
        <w:fldChar w:fldCharType="separate"/>
      </w:r>
      <w:r>
        <w:t>11</w:t>
      </w:r>
      <w:r>
        <w:fldChar w:fldCharType="end"/>
      </w:r>
    </w:p>
    <w:p>
      <w:pPr>
        <w:pStyle w:val="TOC8"/>
        <w:rPr>
          <w:sz w:val="24"/>
          <w:szCs w:val="24"/>
        </w:rPr>
      </w:pPr>
      <w:r>
        <w:rPr>
          <w:szCs w:val="24"/>
        </w:rPr>
        <w:t>33</w:t>
      </w:r>
      <w:r>
        <w:rPr>
          <w:snapToGrid w:val="0"/>
          <w:szCs w:val="24"/>
        </w:rPr>
        <w:t>.</w:t>
      </w:r>
      <w:r>
        <w:rPr>
          <w:snapToGrid w:val="0"/>
          <w:szCs w:val="24"/>
        </w:rPr>
        <w:tab/>
        <w:t>Use of drains</w:t>
      </w:r>
      <w:r>
        <w:tab/>
      </w:r>
      <w:r>
        <w:fldChar w:fldCharType="begin"/>
      </w:r>
      <w:r>
        <w:instrText xml:space="preserve"> PAGEREF _Toc207441696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Infectious disease</w:t>
      </w:r>
      <w:r>
        <w:tab/>
      </w:r>
      <w:r>
        <w:fldChar w:fldCharType="begin"/>
      </w:r>
      <w:r>
        <w:instrText xml:space="preserve"> PAGEREF _Toc207441697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Prohibited discharges</w:t>
      </w:r>
      <w:r>
        <w:tab/>
      </w:r>
      <w:r>
        <w:fldChar w:fldCharType="begin"/>
      </w:r>
      <w:r>
        <w:instrText xml:space="preserve"> PAGEREF _Toc207441698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Industrial waste</w:t>
      </w:r>
      <w:r>
        <w:tab/>
      </w:r>
      <w:r>
        <w:fldChar w:fldCharType="begin"/>
      </w:r>
      <w:r>
        <w:instrText xml:space="preserve"> PAGEREF _Toc207441699 \h </w:instrText>
      </w:r>
      <w:r>
        <w:fldChar w:fldCharType="separate"/>
      </w:r>
      <w:r>
        <w:t>13</w:t>
      </w:r>
      <w:r>
        <w:fldChar w:fldCharType="end"/>
      </w:r>
    </w:p>
    <w:p>
      <w:pPr>
        <w:pStyle w:val="TOC8"/>
        <w:rPr>
          <w:sz w:val="24"/>
          <w:szCs w:val="24"/>
        </w:rPr>
      </w:pPr>
      <w:r>
        <w:rPr>
          <w:szCs w:val="24"/>
        </w:rPr>
        <w:t>37</w:t>
      </w:r>
      <w:r>
        <w:rPr>
          <w:snapToGrid w:val="0"/>
          <w:szCs w:val="24"/>
        </w:rPr>
        <w:t>.</w:t>
      </w:r>
      <w:r>
        <w:rPr>
          <w:snapToGrid w:val="0"/>
          <w:szCs w:val="24"/>
        </w:rPr>
        <w:tab/>
        <w:t>Prohibited discharge of industrial waste — offence</w:t>
      </w:r>
      <w:r>
        <w:tab/>
      </w:r>
      <w:r>
        <w:fldChar w:fldCharType="begin"/>
      </w:r>
      <w:r>
        <w:instrText xml:space="preserve"> PAGEREF _Toc207441700 \h </w:instrText>
      </w:r>
      <w:r>
        <w:fldChar w:fldCharType="separate"/>
      </w:r>
      <w:r>
        <w:t>25</w:t>
      </w:r>
      <w:r>
        <w:fldChar w:fldCharType="end"/>
      </w:r>
    </w:p>
    <w:p>
      <w:pPr>
        <w:pStyle w:val="TOC8"/>
        <w:rPr>
          <w:sz w:val="24"/>
          <w:szCs w:val="24"/>
        </w:rPr>
      </w:pPr>
      <w:r>
        <w:rPr>
          <w:szCs w:val="24"/>
        </w:rPr>
        <w:t>37A</w:t>
      </w:r>
      <w:r>
        <w:rPr>
          <w:snapToGrid w:val="0"/>
          <w:szCs w:val="24"/>
        </w:rPr>
        <w:t>.</w:t>
      </w:r>
      <w:r>
        <w:rPr>
          <w:snapToGrid w:val="0"/>
          <w:szCs w:val="24"/>
        </w:rPr>
        <w:tab/>
        <w:t>Agreement to allow discharge of trade waste</w:t>
      </w:r>
      <w:r>
        <w:tab/>
      </w:r>
      <w:r>
        <w:fldChar w:fldCharType="begin"/>
      </w:r>
      <w:r>
        <w:instrText xml:space="preserve"> PAGEREF _Toc207441701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Steam exhaust</w:t>
      </w:r>
      <w:r>
        <w:tab/>
      </w:r>
      <w:r>
        <w:fldChar w:fldCharType="begin"/>
      </w:r>
      <w:r>
        <w:instrText xml:space="preserve"> PAGEREF _Toc207441702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w:t>
      </w:r>
      <w:r>
        <w:rPr>
          <w:snapToGrid w:val="0"/>
          <w:szCs w:val="24"/>
        </w:rPr>
        <w:noBreakHyphen/>
        <w:t>soil water</w:t>
      </w:r>
      <w:r>
        <w:tab/>
      </w:r>
      <w:r>
        <w:fldChar w:fldCharType="begin"/>
      </w:r>
      <w:r>
        <w:instrText xml:space="preserve"> PAGEREF _Toc207441703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Defective works</w:t>
      </w:r>
      <w:r>
        <w:tab/>
      </w:r>
      <w:r>
        <w:fldChar w:fldCharType="begin"/>
      </w:r>
      <w:r>
        <w:instrText xml:space="preserve"> PAGEREF _Toc207441704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Maintenance by occupier</w:t>
      </w:r>
      <w:r>
        <w:tab/>
      </w:r>
      <w:r>
        <w:fldChar w:fldCharType="begin"/>
      </w:r>
      <w:r>
        <w:instrText xml:space="preserve"> PAGEREF _Toc207441705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Authorisation of materials, fittings and fixtures</w:t>
      </w:r>
      <w:r>
        <w:tab/>
      </w:r>
      <w:r>
        <w:fldChar w:fldCharType="begin"/>
      </w:r>
      <w:r>
        <w:instrText xml:space="preserve"> PAGEREF _Toc207441706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Separate or combined drains</w:t>
      </w:r>
      <w:r>
        <w:tab/>
      </w:r>
      <w:r>
        <w:fldChar w:fldCharType="begin"/>
      </w:r>
      <w:r>
        <w:instrText xml:space="preserve"> PAGEREF _Toc207441707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Connections for polluted areas</w:t>
      </w:r>
      <w:r>
        <w:tab/>
      </w:r>
      <w:r>
        <w:fldChar w:fldCharType="begin"/>
      </w:r>
      <w:r>
        <w:instrText xml:space="preserve"> PAGEREF _Toc207441708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Conditions governing connection</w:t>
      </w:r>
      <w:r>
        <w:tab/>
      </w:r>
      <w:r>
        <w:fldChar w:fldCharType="begin"/>
      </w:r>
      <w:r>
        <w:instrText xml:space="preserve"> PAGEREF _Toc207441709 \h </w:instrText>
      </w:r>
      <w:r>
        <w:fldChar w:fldCharType="separate"/>
      </w:r>
      <w:r>
        <w:t>30</w:t>
      </w:r>
      <w:r>
        <w:fldChar w:fldCharType="end"/>
      </w:r>
    </w:p>
    <w:p>
      <w:pPr>
        <w:pStyle w:val="TOC8"/>
        <w:rPr>
          <w:sz w:val="24"/>
          <w:szCs w:val="24"/>
        </w:rPr>
      </w:pPr>
      <w:r>
        <w:rPr>
          <w:szCs w:val="24"/>
        </w:rPr>
        <w:t>88.</w:t>
      </w:r>
      <w:r>
        <w:rPr>
          <w:szCs w:val="24"/>
        </w:rPr>
        <w:tab/>
        <w:t>Provision of grease, petrol and oil traps</w:t>
      </w:r>
      <w:r>
        <w:tab/>
      </w:r>
      <w:r>
        <w:fldChar w:fldCharType="begin"/>
      </w:r>
      <w:r>
        <w:instrText xml:space="preserve"> PAGEREF _Toc207441710 \h </w:instrText>
      </w:r>
      <w:r>
        <w:fldChar w:fldCharType="separate"/>
      </w:r>
      <w:r>
        <w:t>30</w:t>
      </w:r>
      <w:r>
        <w:fldChar w:fldCharType="end"/>
      </w:r>
    </w:p>
    <w:p>
      <w:pPr>
        <w:pStyle w:val="TOC2"/>
        <w:tabs>
          <w:tab w:val="right" w:leader="dot" w:pos="7086"/>
        </w:tabs>
        <w:rPr>
          <w:b w:val="0"/>
          <w:sz w:val="24"/>
          <w:szCs w:val="24"/>
        </w:rPr>
      </w:pPr>
      <w:r>
        <w:rPr>
          <w:szCs w:val="30"/>
        </w:rPr>
        <w:t>Part 5 — Certain fees</w:t>
      </w:r>
    </w:p>
    <w:p>
      <w:pPr>
        <w:pStyle w:val="TOC8"/>
        <w:rPr>
          <w:sz w:val="24"/>
          <w:szCs w:val="24"/>
        </w:rPr>
      </w:pPr>
      <w:r>
        <w:rPr>
          <w:szCs w:val="24"/>
        </w:rPr>
        <w:t>224.</w:t>
      </w:r>
      <w:r>
        <w:rPr>
          <w:szCs w:val="24"/>
        </w:rPr>
        <w:tab/>
        <w:t>Fees for statements etc.</w:t>
      </w:r>
      <w:r>
        <w:tab/>
      </w:r>
      <w:r>
        <w:fldChar w:fldCharType="begin"/>
      </w:r>
      <w:r>
        <w:instrText xml:space="preserve"> PAGEREF _Toc207441712 \h </w:instrText>
      </w:r>
      <w:r>
        <w:fldChar w:fldCharType="separate"/>
      </w:r>
      <w:r>
        <w:t>32</w:t>
      </w:r>
      <w:r>
        <w:fldChar w:fldCharType="end"/>
      </w:r>
    </w:p>
    <w:p>
      <w:pPr>
        <w:pStyle w:val="TOC8"/>
        <w:rPr>
          <w:sz w:val="24"/>
          <w:szCs w:val="24"/>
        </w:rPr>
      </w:pPr>
      <w:r>
        <w:rPr>
          <w:szCs w:val="24"/>
        </w:rPr>
        <w:t>225.</w:t>
      </w:r>
      <w:r>
        <w:rPr>
          <w:szCs w:val="24"/>
        </w:rPr>
        <w:tab/>
        <w:t>Fees for records, plans and diagrams</w:t>
      </w:r>
      <w:r>
        <w:tab/>
      </w:r>
      <w:r>
        <w:fldChar w:fldCharType="begin"/>
      </w:r>
      <w:r>
        <w:instrText xml:space="preserve"> PAGEREF _Toc207441713 \h </w:instrText>
      </w:r>
      <w:r>
        <w:fldChar w:fldCharType="separate"/>
      </w:r>
      <w:r>
        <w:t>32</w:t>
      </w:r>
      <w:r>
        <w:fldChar w:fldCharType="end"/>
      </w:r>
    </w:p>
    <w:p>
      <w:pPr>
        <w:pStyle w:val="TOC8"/>
        <w:rPr>
          <w:sz w:val="24"/>
          <w:szCs w:val="24"/>
        </w:rPr>
      </w:pPr>
      <w:r>
        <w:rPr>
          <w:szCs w:val="24"/>
        </w:rPr>
        <w:t>225A.</w:t>
      </w:r>
      <w:r>
        <w:rPr>
          <w:szCs w:val="24"/>
        </w:rPr>
        <w:tab/>
        <w:t>Amounts rounded</w:t>
      </w:r>
      <w:r>
        <w:tab/>
      </w:r>
      <w:r>
        <w:fldChar w:fldCharType="begin"/>
      </w:r>
      <w:r>
        <w:instrText xml:space="preserve"> PAGEREF _Toc207441714 \h </w:instrText>
      </w:r>
      <w:r>
        <w:fldChar w:fldCharType="separate"/>
      </w:r>
      <w:r>
        <w:t>32</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(2) — Offences and penalties</w:t>
      </w:r>
    </w:p>
    <w:p>
      <w:pPr>
        <w:pStyle w:val="TOC8"/>
        <w:rPr>
          <w:sz w:val="24"/>
          <w:szCs w:val="24"/>
        </w:rPr>
      </w:pPr>
      <w:r>
        <w:rPr>
          <w:szCs w:val="24"/>
        </w:rPr>
        <w:t>229.</w:t>
      </w:r>
      <w:r>
        <w:rPr>
          <w:szCs w:val="24"/>
        </w:rPr>
        <w:tab/>
        <w:t>Gratuities prohibited</w:t>
      </w:r>
      <w:r>
        <w:tab/>
      </w:r>
      <w:r>
        <w:fldChar w:fldCharType="begin"/>
      </w:r>
      <w:r>
        <w:instrText xml:space="preserve"> PAGEREF _Toc207441717 \h </w:instrText>
      </w:r>
      <w:r>
        <w:fldChar w:fldCharType="separate"/>
      </w:r>
      <w:r>
        <w:t>33</w:t>
      </w:r>
      <w:r>
        <w:fldChar w:fldCharType="end"/>
      </w:r>
    </w:p>
    <w:p>
      <w:pPr>
        <w:pStyle w:val="TOC8"/>
        <w:rPr>
          <w:sz w:val="24"/>
          <w:szCs w:val="24"/>
        </w:rPr>
      </w:pPr>
      <w:r>
        <w:rPr>
          <w:szCs w:val="24"/>
        </w:rPr>
        <w:t>230.</w:t>
      </w:r>
      <w:r>
        <w:rPr>
          <w:szCs w:val="24"/>
        </w:rPr>
        <w:tab/>
        <w:t>Junction or interference with pipes, sewers, or fittings</w:t>
      </w:r>
      <w:r>
        <w:tab/>
      </w:r>
      <w:r>
        <w:fldChar w:fldCharType="begin"/>
      </w:r>
      <w:r>
        <w:instrText xml:space="preserve"> PAGEREF _Toc207441718 \h </w:instrText>
      </w:r>
      <w:r>
        <w:fldChar w:fldCharType="separate"/>
      </w:r>
      <w:r>
        <w:t>33</w:t>
      </w:r>
      <w:r>
        <w:fldChar w:fldCharType="end"/>
      </w:r>
    </w:p>
    <w:p>
      <w:pPr>
        <w:pStyle w:val="TOC8"/>
        <w:rPr>
          <w:sz w:val="24"/>
          <w:szCs w:val="24"/>
        </w:rPr>
      </w:pPr>
      <w:r>
        <w:rPr>
          <w:szCs w:val="24"/>
        </w:rPr>
        <w:t>231.</w:t>
      </w:r>
      <w:r>
        <w:rPr>
          <w:szCs w:val="24"/>
        </w:rPr>
        <w:tab/>
        <w:t>Obstruction of pipes, sewers, drains, or fittings</w:t>
      </w:r>
      <w:r>
        <w:tab/>
      </w:r>
      <w:r>
        <w:fldChar w:fldCharType="begin"/>
      </w:r>
      <w:r>
        <w:instrText xml:space="preserve"> PAGEREF _Toc207441719 \h </w:instrText>
      </w:r>
      <w:r>
        <w:fldChar w:fldCharType="separate"/>
      </w:r>
      <w:r>
        <w:t>33</w:t>
      </w:r>
      <w:r>
        <w:fldChar w:fldCharType="end"/>
      </w:r>
    </w:p>
    <w:p>
      <w:pPr>
        <w:pStyle w:val="TOC8"/>
        <w:rPr>
          <w:sz w:val="24"/>
          <w:szCs w:val="24"/>
        </w:rPr>
      </w:pPr>
      <w:r>
        <w:rPr>
          <w:szCs w:val="24"/>
        </w:rPr>
        <w:t>232.</w:t>
      </w:r>
      <w:r>
        <w:rPr>
          <w:szCs w:val="24"/>
        </w:rPr>
        <w:tab/>
        <w:t>Penalties</w:t>
      </w:r>
      <w:r>
        <w:tab/>
      </w:r>
      <w:r>
        <w:fldChar w:fldCharType="begin"/>
      </w:r>
      <w:r>
        <w:instrText xml:space="preserve"> PAGEREF _Toc207441720 \h </w:instrText>
      </w:r>
      <w:r>
        <w:fldChar w:fldCharType="separate"/>
      </w:r>
      <w:r>
        <w:t>34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234.</w:t>
      </w:r>
      <w:r>
        <w:rPr>
          <w:szCs w:val="24"/>
        </w:rPr>
        <w:tab/>
        <w:t>Authority to enter premises</w:t>
      </w:r>
      <w:r>
        <w:tab/>
      </w:r>
      <w:r>
        <w:fldChar w:fldCharType="begin"/>
      </w:r>
      <w:r>
        <w:instrText xml:space="preserve"> PAGEREF _Toc207441722 \h </w:instrText>
      </w:r>
      <w:r>
        <w:fldChar w:fldCharType="separate"/>
      </w:r>
      <w:r>
        <w:t>35</w:t>
      </w:r>
      <w:r>
        <w:fldChar w:fldCharType="end"/>
      </w:r>
    </w:p>
    <w:p>
      <w:pPr>
        <w:pStyle w:val="TOC8"/>
        <w:rPr>
          <w:sz w:val="24"/>
          <w:szCs w:val="24"/>
        </w:rPr>
      </w:pPr>
      <w:r>
        <w:rPr>
          <w:szCs w:val="24"/>
        </w:rPr>
        <w:t>235.</w:t>
      </w:r>
      <w:r>
        <w:rPr>
          <w:szCs w:val="24"/>
        </w:rPr>
        <w:tab/>
        <w:t>Standard drawings for fixtures and fittings</w:t>
      </w:r>
      <w:r>
        <w:tab/>
      </w:r>
      <w:r>
        <w:fldChar w:fldCharType="begin"/>
      </w:r>
      <w:r>
        <w:instrText xml:space="preserve"> PAGEREF _Toc207441723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Form of notification of building construction or alteration</w:t>
      </w:r>
    </w:p>
    <w:p>
      <w:pPr>
        <w:pStyle w:val="TOC2"/>
        <w:tabs>
          <w:tab w:val="right" w:leader="dot" w:pos="7086"/>
        </w:tabs>
        <w:rPr>
          <w:b w:val="0"/>
          <w:sz w:val="24"/>
          <w:szCs w:val="24"/>
        </w:rPr>
      </w:pPr>
      <w:r>
        <w:rPr>
          <w:szCs w:val="28"/>
        </w:rPr>
        <w:t>Schedule 2 — Fees</w:t>
      </w:r>
    </w:p>
    <w:p>
      <w:pPr>
        <w:pStyle w:val="TOC4"/>
        <w:tabs>
          <w:tab w:val="right" w:leader="dot" w:pos="7086"/>
        </w:tabs>
        <w:rPr>
          <w:b w:val="0"/>
          <w:sz w:val="24"/>
          <w:szCs w:val="24"/>
        </w:rPr>
      </w:pPr>
      <w:r>
        <w:rPr>
          <w:szCs w:val="24"/>
        </w:rPr>
        <w:t>Division 1 — Plumbing fees</w:t>
      </w:r>
    </w:p>
    <w:p>
      <w:pPr>
        <w:pStyle w:val="TOC4"/>
        <w:tabs>
          <w:tab w:val="right" w:leader="dot" w:pos="7086"/>
        </w:tabs>
        <w:rPr>
          <w:b w:val="0"/>
          <w:sz w:val="24"/>
          <w:szCs w:val="24"/>
        </w:rPr>
      </w:pPr>
      <w:r>
        <w:rPr>
          <w:szCs w:val="24"/>
        </w:rPr>
        <w:t>Division 2 — Fees under section 41A</w:t>
      </w:r>
    </w:p>
    <w:p>
      <w:pPr>
        <w:pStyle w:val="TOC4"/>
        <w:tabs>
          <w:tab w:val="right" w:leader="dot" w:pos="7086"/>
        </w:tabs>
        <w:rPr>
          <w:b w:val="0"/>
          <w:sz w:val="24"/>
          <w:szCs w:val="24"/>
        </w:rPr>
      </w:pPr>
      <w:r>
        <w:rPr>
          <w:szCs w:val="24"/>
        </w:rPr>
        <w:t>Division 3 — Fees for copies of records, plans and diagrams</w:t>
      </w:r>
    </w:p>
    <w:p>
      <w:pPr>
        <w:pStyle w:val="TOC4"/>
        <w:tabs>
          <w:tab w:val="right" w:leader="dot" w:pos="7086"/>
        </w:tabs>
        <w:rPr>
          <w:b w:val="0"/>
          <w:sz w:val="24"/>
          <w:szCs w:val="24"/>
        </w:rPr>
      </w:pPr>
      <w:r>
        <w:rPr>
          <w:szCs w:val="24"/>
        </w:rPr>
        <w:t>Division 4 — Statements and information</w:t>
      </w:r>
    </w:p>
    <w:p>
      <w:pPr>
        <w:pStyle w:val="TOC4"/>
        <w:tabs>
          <w:tab w:val="right" w:leader="dot" w:pos="7086"/>
        </w:tabs>
        <w:rPr>
          <w:b w:val="0"/>
          <w:sz w:val="24"/>
          <w:szCs w:val="24"/>
        </w:rPr>
      </w:pPr>
      <w:r>
        <w:rPr>
          <w:szCs w:val="24"/>
        </w:rPr>
        <w:t>Division 5 — Fees for the provision of plan sheets for preparation of diagrams of property sewer installations</w:t>
      </w:r>
    </w:p>
    <w:p>
      <w:pPr>
        <w:pStyle w:val="TOC4"/>
        <w:tabs>
          <w:tab w:val="right" w:leader="dot" w:pos="7086"/>
        </w:tabs>
        <w:rPr>
          <w:b w:val="0"/>
          <w:sz w:val="24"/>
          <w:szCs w:val="24"/>
        </w:rPr>
      </w:pPr>
      <w:r>
        <w:rPr>
          <w:szCs w:val="24"/>
        </w:rPr>
        <w:t>Division 6 — Minimum fees for installation of sewer junction</w:t>
      </w:r>
    </w:p>
    <w:p>
      <w:pPr>
        <w:pStyle w:val="TOC2"/>
        <w:tabs>
          <w:tab w:val="right" w:leader="dot" w:pos="7086"/>
        </w:tabs>
        <w:rPr>
          <w:b w:val="0"/>
          <w:sz w:val="24"/>
          <w:szCs w:val="24"/>
        </w:rPr>
      </w:pPr>
      <w:r>
        <w:rPr>
          <w:szCs w:val="28"/>
        </w:rPr>
        <w:t>Schedule 3 — Materials, fittings and fixtures</w:t>
      </w:r>
    </w:p>
    <w:p>
      <w:pPr>
        <w:pStyle w:val="TOC4"/>
        <w:tabs>
          <w:tab w:val="right" w:leader="dot" w:pos="7086"/>
        </w:tabs>
        <w:rPr>
          <w:b w:val="0"/>
          <w:sz w:val="24"/>
          <w:szCs w:val="24"/>
        </w:rPr>
      </w:pPr>
      <w:r>
        <w:rPr>
          <w:szCs w:val="24"/>
        </w:rPr>
        <w:t>Division 1 — Fixtures</w:t>
      </w:r>
    </w:p>
    <w:p>
      <w:pPr>
        <w:pStyle w:val="TOC4"/>
        <w:tabs>
          <w:tab w:val="right" w:leader="dot" w:pos="7086"/>
        </w:tabs>
        <w:rPr>
          <w:b w:val="0"/>
          <w:sz w:val="24"/>
          <w:szCs w:val="24"/>
        </w:rPr>
      </w:pPr>
      <w:r>
        <w:rPr>
          <w:szCs w:val="24"/>
        </w:rPr>
        <w:t>Division 2 — Prohibited materials, fittings and fixtures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_Toc207441736 \h </w:instrText>
      </w:r>
      <w:r>
        <w:fldChar w:fldCharType="separate"/>
      </w:r>
      <w:r>
        <w:t>41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r>
        <w:rPr>
          <w:rStyle w:val="CharPartNo"/>
        </w:rPr>
        <w:t>Part 1</w:t>
      </w:r>
      <w:r>
        <w:t> — </w:t>
      </w:r>
      <w:r>
        <w:rPr>
          <w:rStyle w:val="CharPartText"/>
        </w:rPr>
        <w:t>Preliminary</w:t>
      </w:r>
      <w:bookmarkEnd w:id="1"/>
      <w:bookmarkEnd w:id="2"/>
      <w:bookmarkEnd w:id="3"/>
      <w:bookmarkEnd w:id="4"/>
    </w:p>
    <w:p>
      <w:pPr>
        <w:pStyle w:val="Footnoteheading"/>
        <w:ind w:left="890"/>
      </w:pPr>
      <w:r>
        <w:tab/>
        <w:t>[Heading inserted in Gazette 25 Aug 1998 p. 4737.]</w:t>
      </w:r>
    </w:p>
    <w:p>
      <w:pPr>
        <w:pStyle w:val="Heading5"/>
        <w:rPr>
          <w:snapToGrid w:val="0"/>
        </w:rPr>
      </w:pPr>
      <w:bookmarkStart w:id="5" w:name="_Toc20744167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6" w:name="_Toc207441674"/>
      <w:r>
        <w:rPr>
          <w:rStyle w:val="CharSectno"/>
        </w:rPr>
        <w:t>2</w:t>
      </w:r>
      <w:r>
        <w:rPr>
          <w:snapToGrid w:val="0"/>
        </w:rPr>
        <w:t>.</w:t>
      </w:r>
      <w:r>
        <w:rPr>
          <w:snapToGrid w:val="0"/>
        </w:rPr>
        <w:tab/>
        <w:t>Terms used in these by-laws</w:t>
      </w:r>
      <w:bookmarkEnd w:id="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the Act</w:t>
      </w:r>
      <w:r>
        <w:t xml:space="preserve"> means the </w:t>
      </w:r>
      <w:r>
        <w:rPr>
          <w:i/>
        </w:rPr>
        <w:t>Country Towns Sewerage Act 1948</w:t>
      </w:r>
      <w:r>
        <w:t>, and any amendment thereof;</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7" w:name="_Toc190838044"/>
      <w:bookmarkStart w:id="8" w:name="_Toc191091643"/>
      <w:bookmarkStart w:id="9" w:name="_Toc192993315"/>
      <w:bookmarkStart w:id="10" w:name="_Toc207441675"/>
      <w:r>
        <w:rPr>
          <w:rStyle w:val="CharPartNo"/>
        </w:rPr>
        <w:t>Part 2</w:t>
      </w:r>
      <w:r>
        <w:t> — </w:t>
      </w:r>
      <w:r>
        <w:rPr>
          <w:rStyle w:val="CharPartText"/>
        </w:rPr>
        <w:t>Protection of water, grounds, etc.</w:t>
      </w:r>
      <w:bookmarkEnd w:id="7"/>
      <w:bookmarkEnd w:id="8"/>
      <w:bookmarkEnd w:id="9"/>
      <w:bookmarkEnd w:id="10"/>
    </w:p>
    <w:p>
      <w:pPr>
        <w:pStyle w:val="Footnoteheading"/>
        <w:ind w:left="890"/>
      </w:pPr>
      <w:r>
        <w:tab/>
        <w:t>[Heading inserted in Gazette 25 Aug 1998 p. 4737.]</w:t>
      </w:r>
    </w:p>
    <w:p>
      <w:pPr>
        <w:pStyle w:val="Heading5"/>
        <w:rPr>
          <w:snapToGrid w:val="0"/>
        </w:rPr>
      </w:pPr>
      <w:bookmarkStart w:id="11" w:name="_Toc207441676"/>
      <w:r>
        <w:rPr>
          <w:rStyle w:val="CharSectno"/>
        </w:rPr>
        <w:t>3</w:t>
      </w:r>
      <w:r>
        <w:rPr>
          <w:snapToGrid w:val="0"/>
        </w:rPr>
        <w:t>.</w:t>
      </w:r>
      <w:r>
        <w:rPr>
          <w:snapToGrid w:val="0"/>
        </w:rPr>
        <w:tab/>
        <w:t>Trespassing prohibited</w:t>
      </w:r>
      <w:bookmarkEnd w:id="11"/>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12" w:name="_Toc207441677"/>
      <w:r>
        <w:rPr>
          <w:rStyle w:val="CharSectno"/>
        </w:rPr>
        <w:t>4</w:t>
      </w:r>
      <w:r>
        <w:rPr>
          <w:snapToGrid w:val="0"/>
        </w:rPr>
        <w:t>.</w:t>
      </w:r>
      <w:r>
        <w:rPr>
          <w:snapToGrid w:val="0"/>
        </w:rPr>
        <w:tab/>
        <w:t>Dogs prohibited</w:t>
      </w:r>
      <w:bookmarkEnd w:id="12"/>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13" w:name="_Toc207441678"/>
      <w:r>
        <w:rPr>
          <w:rStyle w:val="CharSectno"/>
        </w:rPr>
        <w:t>5</w:t>
      </w:r>
      <w:r>
        <w:rPr>
          <w:snapToGrid w:val="0"/>
        </w:rPr>
        <w:t>.</w:t>
      </w:r>
      <w:r>
        <w:rPr>
          <w:snapToGrid w:val="0"/>
        </w:rPr>
        <w:tab/>
        <w:t>Disposal of refuse etc. only in receptacles</w:t>
      </w:r>
      <w:bookmarkEnd w:id="13"/>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14" w:name="_Toc207441679"/>
      <w:r>
        <w:rPr>
          <w:rStyle w:val="CharSectno"/>
        </w:rPr>
        <w:t>6</w:t>
      </w:r>
      <w:r>
        <w:rPr>
          <w:snapToGrid w:val="0"/>
        </w:rPr>
        <w:t>.</w:t>
      </w:r>
      <w:r>
        <w:rPr>
          <w:snapToGrid w:val="0"/>
        </w:rPr>
        <w:tab/>
        <w:t>Posting or distribution of bills etc. prohibited</w:t>
      </w:r>
      <w:bookmarkEnd w:id="14"/>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15" w:name="_Toc207441680"/>
      <w:r>
        <w:rPr>
          <w:rStyle w:val="CharSectno"/>
        </w:rPr>
        <w:t>7</w:t>
      </w:r>
      <w:r>
        <w:rPr>
          <w:snapToGrid w:val="0"/>
        </w:rPr>
        <w:t>.</w:t>
      </w:r>
      <w:r>
        <w:rPr>
          <w:snapToGrid w:val="0"/>
        </w:rPr>
        <w:tab/>
        <w:t>Nuisances prohibited</w:t>
      </w:r>
      <w:bookmarkEnd w:id="1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16" w:name="_Toc207441681"/>
      <w:r>
        <w:rPr>
          <w:rStyle w:val="CharSectno"/>
        </w:rPr>
        <w:t>8</w:t>
      </w:r>
      <w:r>
        <w:rPr>
          <w:snapToGrid w:val="0"/>
        </w:rPr>
        <w:t>.</w:t>
      </w:r>
      <w:r>
        <w:rPr>
          <w:snapToGrid w:val="0"/>
        </w:rPr>
        <w:tab/>
        <w:t>Protection of works from injury</w:t>
      </w:r>
      <w:bookmarkEnd w:id="1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17" w:name="_Toc190838051"/>
      <w:bookmarkStart w:id="18" w:name="_Toc191091650"/>
      <w:bookmarkStart w:id="19" w:name="_Toc192993322"/>
      <w:bookmarkStart w:id="20" w:name="_Toc207441682"/>
      <w:r>
        <w:rPr>
          <w:rStyle w:val="CharPartNo"/>
        </w:rPr>
        <w:t>Part 3</w:t>
      </w:r>
      <w:r>
        <w:t> — </w:t>
      </w:r>
      <w:r>
        <w:rPr>
          <w:rStyle w:val="CharPartText"/>
        </w:rPr>
        <w:t>Provisions related to sanitary plumbing and drainage plumbing</w:t>
      </w:r>
      <w:bookmarkEnd w:id="17"/>
      <w:bookmarkEnd w:id="18"/>
      <w:bookmarkEnd w:id="19"/>
      <w:bookmarkEnd w:id="20"/>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Repealed in Gazette 28 Jun 2004 p. 2386.]</w:t>
      </w:r>
    </w:p>
    <w:p>
      <w:pPr>
        <w:pStyle w:val="Ednotesection"/>
        <w:spacing w:before="240"/>
      </w:pPr>
      <w:r>
        <w:t>[</w:t>
      </w:r>
      <w:r>
        <w:rPr>
          <w:b/>
        </w:rPr>
        <w:t>9</w:t>
      </w:r>
      <w:r>
        <w:rPr>
          <w:b/>
        </w:rPr>
        <w:noBreakHyphen/>
        <w:t>17B.</w:t>
      </w:r>
      <w:r>
        <w:tab/>
        <w:t>Repealed in Gazette 16 Jun 2000 p. 2964.]</w:t>
      </w:r>
    </w:p>
    <w:p>
      <w:pPr>
        <w:pStyle w:val="Heading5"/>
        <w:spacing w:before="240"/>
        <w:rPr>
          <w:snapToGrid w:val="0"/>
        </w:rPr>
      </w:pPr>
      <w:bookmarkStart w:id="21" w:name="_Toc207441683"/>
      <w:r>
        <w:rPr>
          <w:rStyle w:val="CharSectno"/>
        </w:rPr>
        <w:t>18</w:t>
      </w:r>
      <w:r>
        <w:rPr>
          <w:snapToGrid w:val="0"/>
        </w:rPr>
        <w:t>.</w:t>
      </w:r>
      <w:r>
        <w:rPr>
          <w:snapToGrid w:val="0"/>
        </w:rPr>
        <w:tab/>
        <w:t>Plumber to provide information if required</w:t>
      </w:r>
      <w:bookmarkEnd w:id="21"/>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Repealed in Gazette 28 Jun 2004 p. 2386</w:t>
      </w:r>
      <w:r>
        <w:noBreakHyphen/>
        <w:t>7.]</w:t>
      </w:r>
    </w:p>
    <w:p>
      <w:pPr>
        <w:pStyle w:val="Ednotesection"/>
        <w:spacing w:before="240"/>
      </w:pPr>
      <w:r>
        <w:t>[</w:t>
      </w:r>
      <w:r>
        <w:rPr>
          <w:b/>
        </w:rPr>
        <w:t>20.</w:t>
      </w:r>
      <w:r>
        <w:rPr>
          <w:b/>
        </w:rPr>
        <w:tab/>
      </w:r>
      <w:r>
        <w:t xml:space="preserve">Repealed in Gazette 22 Dec 1989 p. 4626.] </w:t>
      </w:r>
    </w:p>
    <w:p>
      <w:pPr>
        <w:pStyle w:val="Heading5"/>
        <w:spacing w:before="240"/>
        <w:rPr>
          <w:snapToGrid w:val="0"/>
        </w:rPr>
      </w:pPr>
      <w:bookmarkStart w:id="22" w:name="_Toc207441684"/>
      <w:r>
        <w:rPr>
          <w:rStyle w:val="CharSectno"/>
        </w:rPr>
        <w:t>21</w:t>
      </w:r>
      <w:r>
        <w:rPr>
          <w:snapToGrid w:val="0"/>
        </w:rPr>
        <w:t>.</w:t>
      </w:r>
      <w:r>
        <w:rPr>
          <w:snapToGrid w:val="0"/>
        </w:rPr>
        <w:tab/>
        <w:t>Damage to pipes shall be reported</w:t>
      </w:r>
      <w:bookmarkEnd w:id="22"/>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23" w:name="_Toc207441685"/>
      <w:r>
        <w:rPr>
          <w:rStyle w:val="CharSectno"/>
        </w:rPr>
        <w:t>21A</w:t>
      </w:r>
      <w:r>
        <w:rPr>
          <w:snapToGrid w:val="0"/>
        </w:rPr>
        <w:t>.</w:t>
      </w:r>
      <w:r>
        <w:rPr>
          <w:snapToGrid w:val="0"/>
        </w:rPr>
        <w:tab/>
        <w:t>Plumber to report certain matters</w:t>
      </w:r>
      <w:bookmarkEnd w:id="23"/>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24" w:name="_Toc190838055"/>
      <w:bookmarkStart w:id="25" w:name="_Toc191091654"/>
      <w:bookmarkStart w:id="26" w:name="_Toc192993326"/>
      <w:bookmarkStart w:id="27" w:name="_Toc207441686"/>
      <w:r>
        <w:rPr>
          <w:rStyle w:val="CharPartNo"/>
        </w:rPr>
        <w:t>Part 4</w:t>
      </w:r>
      <w:r>
        <w:t> — </w:t>
      </w:r>
      <w:r>
        <w:rPr>
          <w:rStyle w:val="CharPartText"/>
        </w:rPr>
        <w:t>Sewerage and drainage</w:t>
      </w:r>
      <w:bookmarkEnd w:id="24"/>
      <w:bookmarkEnd w:id="25"/>
      <w:bookmarkEnd w:id="26"/>
      <w:bookmarkEnd w:id="27"/>
    </w:p>
    <w:p>
      <w:pPr>
        <w:pStyle w:val="Footnoteheading"/>
        <w:ind w:left="890"/>
      </w:pPr>
      <w:r>
        <w:tab/>
        <w:t>[Heading inserted in Gazette 25 Aug 1998 p. 4738.]</w:t>
      </w:r>
    </w:p>
    <w:p>
      <w:pPr>
        <w:pStyle w:val="Heading5"/>
        <w:rPr>
          <w:snapToGrid w:val="0"/>
        </w:rPr>
      </w:pPr>
      <w:bookmarkStart w:id="28" w:name="_Toc207441687"/>
      <w:r>
        <w:rPr>
          <w:rStyle w:val="CharSectno"/>
        </w:rPr>
        <w:t>25</w:t>
      </w:r>
      <w:r>
        <w:rPr>
          <w:snapToGrid w:val="0"/>
        </w:rPr>
        <w:t>.</w:t>
      </w:r>
      <w:r>
        <w:rPr>
          <w:snapToGrid w:val="0"/>
        </w:rPr>
        <w:tab/>
        <w:t>Procedure for connections to sewer</w:t>
      </w:r>
      <w:bookmarkEnd w:id="28"/>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29" w:name="_Toc207441688"/>
      <w:r>
        <w:rPr>
          <w:rStyle w:val="CharSectno"/>
        </w:rPr>
        <w:t>26</w:t>
      </w:r>
      <w:r>
        <w:rPr>
          <w:snapToGrid w:val="0"/>
        </w:rPr>
        <w:t>.</w:t>
      </w:r>
      <w:r>
        <w:rPr>
          <w:snapToGrid w:val="0"/>
        </w:rPr>
        <w:tab/>
        <w:t>Proof of connections having been made</w:t>
      </w:r>
      <w:bookmarkEnd w:id="29"/>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30" w:name="_Toc207441689"/>
      <w:r>
        <w:rPr>
          <w:rStyle w:val="CharSectno"/>
        </w:rPr>
        <w:t>27</w:t>
      </w:r>
      <w:r>
        <w:rPr>
          <w:snapToGrid w:val="0"/>
        </w:rPr>
        <w:t>.</w:t>
      </w:r>
      <w:r>
        <w:rPr>
          <w:snapToGrid w:val="0"/>
        </w:rPr>
        <w:tab/>
        <w:t>Work carried out under system of deferred payment</w:t>
      </w:r>
      <w:bookmarkEnd w:id="30"/>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31" w:name="_Toc207441690"/>
      <w:r>
        <w:rPr>
          <w:rStyle w:val="CharSectno"/>
        </w:rPr>
        <w:t>28</w:t>
      </w:r>
      <w:r>
        <w:rPr>
          <w:snapToGrid w:val="0"/>
        </w:rPr>
        <w:t>.</w:t>
      </w:r>
      <w:r>
        <w:rPr>
          <w:snapToGrid w:val="0"/>
        </w:rPr>
        <w:tab/>
        <w:t>Maintenance and repairs by Corporation</w:t>
      </w:r>
      <w:bookmarkEnd w:id="31"/>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32" w:name="_Toc207441691"/>
      <w:r>
        <w:rPr>
          <w:rStyle w:val="CharSectno"/>
        </w:rPr>
        <w:t>29</w:t>
      </w:r>
      <w:r>
        <w:rPr>
          <w:snapToGrid w:val="0"/>
        </w:rPr>
        <w:t>.</w:t>
      </w:r>
      <w:r>
        <w:rPr>
          <w:snapToGrid w:val="0"/>
        </w:rPr>
        <w:tab/>
        <w:t>Notices, plans and fees for connection to sewerage service</w:t>
      </w:r>
      <w:bookmarkEnd w:id="32"/>
    </w:p>
    <w:p>
      <w:pPr>
        <w:pStyle w:val="Ednotesubsection"/>
      </w:pPr>
      <w:r>
        <w:tab/>
        <w:t>[(1a)</w:t>
      </w:r>
      <w:r>
        <w:tab/>
        <w:t xml:space="preserve">repealed]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33" w:name="_Toc207441692"/>
      <w:r>
        <w:rPr>
          <w:rStyle w:val="CharSectno"/>
        </w:rPr>
        <w:t>29A</w:t>
      </w:r>
      <w:r>
        <w:t>.</w:t>
      </w:r>
      <w:r>
        <w:tab/>
        <w:t>Diagrams of drainage plumbing</w:t>
      </w:r>
      <w:bookmarkEnd w:id="33"/>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 xml:space="preserve">bylaw (1) or (2), the appropriate fee set out in Schedule 2 </w:t>
      </w:r>
      <w:r>
        <w:t xml:space="preserve">Division 5 </w:t>
      </w:r>
      <w:r>
        <w:rPr>
          <w:snapToGrid w:val="0"/>
        </w:rPr>
        <w:t>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w:t>
      </w:r>
    </w:p>
    <w:p>
      <w:pPr>
        <w:pStyle w:val="Heading5"/>
        <w:rPr>
          <w:snapToGrid w:val="0"/>
        </w:rPr>
      </w:pPr>
      <w:bookmarkStart w:id="34" w:name="_Toc207441693"/>
      <w:r>
        <w:rPr>
          <w:rStyle w:val="CharSectno"/>
        </w:rPr>
        <w:t>30</w:t>
      </w:r>
      <w:r>
        <w:rPr>
          <w:snapToGrid w:val="0"/>
        </w:rPr>
        <w:t>.</w:t>
      </w:r>
      <w:r>
        <w:rPr>
          <w:snapToGrid w:val="0"/>
        </w:rPr>
        <w:tab/>
        <w:t>Plan to remain property of owner</w:t>
      </w:r>
      <w:bookmarkEnd w:id="34"/>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35" w:name="_Toc207441694"/>
      <w:r>
        <w:rPr>
          <w:rStyle w:val="CharSectno"/>
        </w:rPr>
        <w:t>31</w:t>
      </w:r>
      <w:r>
        <w:t>.</w:t>
      </w:r>
      <w:r>
        <w:tab/>
        <w:t>Prescribed proximity to sewer</w:t>
      </w:r>
      <w:bookmarkEnd w:id="35"/>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36" w:name="_Toc207441695"/>
      <w:r>
        <w:rPr>
          <w:rStyle w:val="CharSectno"/>
        </w:rPr>
        <w:t>32</w:t>
      </w:r>
      <w:r>
        <w:rPr>
          <w:snapToGrid w:val="0"/>
        </w:rPr>
        <w:t>.</w:t>
      </w:r>
      <w:r>
        <w:rPr>
          <w:snapToGrid w:val="0"/>
        </w:rPr>
        <w:tab/>
        <w:t>Work incidental to sewerage installations</w:t>
      </w:r>
      <w:bookmarkEnd w:id="36"/>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37" w:name="_Toc207441696"/>
      <w:r>
        <w:rPr>
          <w:rStyle w:val="CharSectno"/>
        </w:rPr>
        <w:t>33</w:t>
      </w:r>
      <w:r>
        <w:rPr>
          <w:snapToGrid w:val="0"/>
        </w:rPr>
        <w:t>.</w:t>
      </w:r>
      <w:r>
        <w:rPr>
          <w:snapToGrid w:val="0"/>
        </w:rPr>
        <w:tab/>
        <w:t>Use of drains</w:t>
      </w:r>
      <w:bookmarkEnd w:id="37"/>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38" w:name="_Toc207441697"/>
      <w:r>
        <w:rPr>
          <w:rStyle w:val="CharSectno"/>
        </w:rPr>
        <w:t>34</w:t>
      </w:r>
      <w:r>
        <w:rPr>
          <w:snapToGrid w:val="0"/>
        </w:rPr>
        <w:t>.</w:t>
      </w:r>
      <w:r>
        <w:rPr>
          <w:snapToGrid w:val="0"/>
        </w:rPr>
        <w:tab/>
        <w:t>Infectious disease</w:t>
      </w:r>
      <w:bookmarkEnd w:id="38"/>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39" w:name="_Toc207441698"/>
      <w:r>
        <w:rPr>
          <w:rStyle w:val="CharSectno"/>
        </w:rPr>
        <w:t>35</w:t>
      </w:r>
      <w:r>
        <w:rPr>
          <w:snapToGrid w:val="0"/>
        </w:rPr>
        <w:t>.</w:t>
      </w:r>
      <w:r>
        <w:rPr>
          <w:snapToGrid w:val="0"/>
        </w:rPr>
        <w:tab/>
        <w:t>Prohibited discharges</w:t>
      </w:r>
      <w:bookmarkEnd w:id="39"/>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40" w:name="_Toc207441699"/>
      <w:r>
        <w:rPr>
          <w:rStyle w:val="CharSectno"/>
        </w:rPr>
        <w:t>36</w:t>
      </w:r>
      <w:r>
        <w:rPr>
          <w:snapToGrid w:val="0"/>
        </w:rPr>
        <w:t>.</w:t>
      </w:r>
      <w:r>
        <w:rPr>
          <w:snapToGrid w:val="0"/>
        </w:rPr>
        <w:tab/>
        <w:t>Industrial waste</w:t>
      </w:r>
      <w:bookmarkEnd w:id="40"/>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keepLines/>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(g)</w:t>
      </w:r>
      <w:r>
        <w:rPr>
          <w:snapToGrid w:val="0"/>
        </w:rPr>
        <w:tab/>
        <w:t>The said permit shall not be assigned or transferred except by permission, in writing, from the Corporation.</w:t>
      </w:r>
    </w:p>
    <w:p>
      <w:pPr>
        <w:pStyle w:val="Indenta"/>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pPr>
      <w:r>
        <w:tab/>
        <w:t>(ja)</w:t>
      </w:r>
      <w:r>
        <w:tab/>
        <w:t xml:space="preserve">The occupier shall, after any cleansing or maintenance of a treatment apparatus required under paragraph (j) that is done on or after 1 July 2007 — </w:t>
      </w:r>
    </w:p>
    <w:p>
      <w:pPr>
        <w:pStyle w:val="Indenti"/>
      </w:pPr>
      <w:r>
        <w:tab/>
        <w:t>(i)</w:t>
      </w:r>
      <w:r>
        <w:tab/>
        <w:t>notify the Corporation in writing of the cleansing or maintenance within 7 days after the day on which it is done; and</w:t>
      </w:r>
    </w:p>
    <w:p>
      <w:pPr>
        <w:pStyle w:val="Indenti"/>
      </w:pPr>
      <w:r>
        <w:tab/>
        <w:t>(ii)</w:t>
      </w:r>
      <w:r>
        <w:tab/>
        <w:t>include in the notification the identification information on or in the tag or mark that the Corporation uses to identify the apparatus under paragraph (i)(ii).</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keepLines/>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2129</w:t>
      </w:r>
      <w:r>
        <w:noBreakHyphen/>
        <w:t>30; 28 Jun 1991 p. 3283; 29 Dec 1995 p. 6311</w:t>
      </w:r>
      <w:r>
        <w:noBreakHyphen/>
        <w:t>12, 6314 and 6315; 28 Jun 2004 p. 2385; 5 Apr 2007 p. 1531</w:t>
      </w:r>
      <w:r>
        <w:noBreakHyphen/>
        <w:t xml:space="preserve">3.] </w:t>
      </w:r>
    </w:p>
    <w:p>
      <w:pPr>
        <w:pStyle w:val="Heading5"/>
        <w:rPr>
          <w:snapToGrid w:val="0"/>
        </w:rPr>
      </w:pPr>
      <w:bookmarkStart w:id="41" w:name="_Toc207441700"/>
      <w:r>
        <w:rPr>
          <w:rStyle w:val="CharSectno"/>
        </w:rPr>
        <w:t>37</w:t>
      </w:r>
      <w:r>
        <w:rPr>
          <w:snapToGrid w:val="0"/>
        </w:rPr>
        <w:t>.</w:t>
      </w:r>
      <w:r>
        <w:rPr>
          <w:snapToGrid w:val="0"/>
        </w:rPr>
        <w:tab/>
        <w:t>Prohibited discharge of industrial waste — offence</w:t>
      </w:r>
      <w:bookmarkEnd w:id="4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42" w:name="_Toc207441701"/>
      <w:r>
        <w:rPr>
          <w:rStyle w:val="CharSectno"/>
        </w:rPr>
        <w:t>37A</w:t>
      </w:r>
      <w:r>
        <w:rPr>
          <w:snapToGrid w:val="0"/>
        </w:rPr>
        <w:t>.</w:t>
      </w:r>
      <w:r>
        <w:rPr>
          <w:snapToGrid w:val="0"/>
        </w:rPr>
        <w:tab/>
        <w:t>Agreement to allow discharge of trade waste</w:t>
      </w:r>
      <w:bookmarkEnd w:id="42"/>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43" w:name="_Toc207441702"/>
      <w:r>
        <w:rPr>
          <w:rStyle w:val="CharSectno"/>
        </w:rPr>
        <w:t>38</w:t>
      </w:r>
      <w:r>
        <w:rPr>
          <w:snapToGrid w:val="0"/>
        </w:rPr>
        <w:t>.</w:t>
      </w:r>
      <w:r>
        <w:rPr>
          <w:snapToGrid w:val="0"/>
        </w:rPr>
        <w:tab/>
        <w:t>Steam exhaust</w:t>
      </w:r>
      <w:bookmarkEnd w:id="43"/>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44" w:name="_Toc207441703"/>
      <w:r>
        <w:rPr>
          <w:rStyle w:val="CharSectno"/>
        </w:rPr>
        <w:t>39</w:t>
      </w:r>
      <w:r>
        <w:rPr>
          <w:snapToGrid w:val="0"/>
        </w:rPr>
        <w:t>.</w:t>
      </w:r>
      <w:r>
        <w:rPr>
          <w:snapToGrid w:val="0"/>
        </w:rPr>
        <w:tab/>
        <w:t>Sub</w:t>
      </w:r>
      <w:r>
        <w:rPr>
          <w:snapToGrid w:val="0"/>
        </w:rPr>
        <w:noBreakHyphen/>
        <w:t>soil water</w:t>
      </w:r>
      <w:bookmarkEnd w:id="44"/>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Repealed in Gazette 28 Jun 2004 p. 2386</w:t>
      </w:r>
      <w:r>
        <w:noBreakHyphen/>
        <w:t>7.]</w:t>
      </w:r>
    </w:p>
    <w:p>
      <w:pPr>
        <w:pStyle w:val="Ednotesection"/>
        <w:spacing w:before="240"/>
        <w:ind w:left="890" w:hanging="890"/>
      </w:pPr>
      <w:r>
        <w:t>[</w:t>
      </w:r>
      <w:r>
        <w:rPr>
          <w:b/>
        </w:rPr>
        <w:t>41.</w:t>
      </w:r>
      <w:r>
        <w:tab/>
        <w:t xml:space="preserve">Repealed in Gazette 21 Sep 1990 p. 4954.] </w:t>
      </w:r>
    </w:p>
    <w:p>
      <w:pPr>
        <w:pStyle w:val="Ednotesection"/>
        <w:spacing w:before="240"/>
        <w:ind w:left="890" w:hanging="890"/>
      </w:pPr>
      <w:r>
        <w:t>[</w:t>
      </w:r>
      <w:r>
        <w:rPr>
          <w:b/>
        </w:rPr>
        <w:t>42</w:t>
      </w:r>
      <w:r>
        <w:rPr>
          <w:b/>
        </w:rPr>
        <w:noBreakHyphen/>
        <w:t>45.</w:t>
      </w:r>
      <w:r>
        <w:tab/>
        <w:t>Repealed in Gazette 28 Jun 2004 p. 2386.]</w:t>
      </w:r>
    </w:p>
    <w:p>
      <w:pPr>
        <w:pStyle w:val="Heading5"/>
        <w:spacing w:before="240"/>
        <w:rPr>
          <w:snapToGrid w:val="0"/>
        </w:rPr>
      </w:pPr>
      <w:bookmarkStart w:id="45" w:name="_Toc207441704"/>
      <w:r>
        <w:rPr>
          <w:rStyle w:val="CharSectno"/>
        </w:rPr>
        <w:t>46</w:t>
      </w:r>
      <w:r>
        <w:rPr>
          <w:snapToGrid w:val="0"/>
        </w:rPr>
        <w:t>.</w:t>
      </w:r>
      <w:r>
        <w:rPr>
          <w:snapToGrid w:val="0"/>
        </w:rPr>
        <w:tab/>
        <w:t>Defective works</w:t>
      </w:r>
      <w:bookmarkEnd w:id="45"/>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46" w:name="_Toc207441705"/>
      <w:r>
        <w:rPr>
          <w:rStyle w:val="CharSectno"/>
        </w:rPr>
        <w:t>48</w:t>
      </w:r>
      <w:r>
        <w:rPr>
          <w:snapToGrid w:val="0"/>
        </w:rPr>
        <w:t>.</w:t>
      </w:r>
      <w:r>
        <w:rPr>
          <w:snapToGrid w:val="0"/>
        </w:rPr>
        <w:tab/>
        <w:t>Maintenance by occupier</w:t>
      </w:r>
      <w:bookmarkEnd w:id="46"/>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47" w:name="_Toc207441706"/>
      <w:r>
        <w:rPr>
          <w:rStyle w:val="CharSectno"/>
        </w:rPr>
        <w:t>49</w:t>
      </w:r>
      <w:r>
        <w:rPr>
          <w:snapToGrid w:val="0"/>
        </w:rPr>
        <w:t>.</w:t>
      </w:r>
      <w:r>
        <w:rPr>
          <w:snapToGrid w:val="0"/>
        </w:rPr>
        <w:tab/>
        <w:t>Authorisation of materials, fittings and fixtures</w:t>
      </w:r>
      <w:bookmarkEnd w:id="47"/>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rPr>
          <w:b/>
          <w:bCs/>
        </w:rPr>
        <w:t>.</w:t>
      </w:r>
      <w:r>
        <w:tab/>
        <w:t>Repealed in Gazette 25 Aug 1998 p. 4738.]</w:t>
      </w:r>
    </w:p>
    <w:p>
      <w:pPr>
        <w:pStyle w:val="Heading5"/>
      </w:pPr>
      <w:bookmarkStart w:id="48" w:name="_Toc207441707"/>
      <w:r>
        <w:rPr>
          <w:rStyle w:val="CharSectno"/>
        </w:rPr>
        <w:t>57</w:t>
      </w:r>
      <w:r>
        <w:rPr>
          <w:snapToGrid w:val="0"/>
        </w:rPr>
        <w:t>.</w:t>
      </w:r>
      <w:r>
        <w:rPr>
          <w:snapToGrid w:val="0"/>
        </w:rPr>
        <w:tab/>
        <w:t>Separate or combined drains</w:t>
      </w:r>
      <w:bookmarkEnd w:id="48"/>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rPr>
          <w:snapToGrid w:val="0"/>
        </w:rPr>
      </w:pPr>
      <w:bookmarkStart w:id="49" w:name="_Toc207441708"/>
      <w:r>
        <w:rPr>
          <w:rStyle w:val="CharSectno"/>
        </w:rPr>
        <w:t>70</w:t>
      </w:r>
      <w:r>
        <w:rPr>
          <w:snapToGrid w:val="0"/>
        </w:rPr>
        <w:t>.</w:t>
      </w:r>
      <w:r>
        <w:rPr>
          <w:snapToGrid w:val="0"/>
        </w:rPr>
        <w:tab/>
        <w:t>Connections for polluted areas</w:t>
      </w:r>
      <w:bookmarkEnd w:id="49"/>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50" w:name="_Toc207441709"/>
      <w:r>
        <w:rPr>
          <w:rStyle w:val="CharSectno"/>
        </w:rPr>
        <w:t>71</w:t>
      </w:r>
      <w:r>
        <w:rPr>
          <w:snapToGrid w:val="0"/>
        </w:rPr>
        <w:t>.</w:t>
      </w:r>
      <w:r>
        <w:rPr>
          <w:snapToGrid w:val="0"/>
        </w:rPr>
        <w:tab/>
        <w:t>Conditions governing connection</w:t>
      </w:r>
      <w:bookmarkEnd w:id="50"/>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51" w:name="_Toc207441710"/>
      <w:r>
        <w:rPr>
          <w:rStyle w:val="CharSectno"/>
        </w:rPr>
        <w:t>88</w:t>
      </w:r>
      <w:r>
        <w:t>.</w:t>
      </w:r>
      <w:r>
        <w:tab/>
        <w:t>Provision of grease, petrol and oil traps</w:t>
      </w:r>
      <w:bookmarkEnd w:id="51"/>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keepLines/>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Repealed in Gazette 28 Jun 2004 p. 2386</w:t>
      </w:r>
      <w:r>
        <w:noBreakHyphen/>
        <w:t>7.]</w:t>
      </w:r>
    </w:p>
    <w:p>
      <w:pPr>
        <w:pStyle w:val="Ednotesection"/>
        <w:tabs>
          <w:tab w:val="left" w:pos="1134"/>
        </w:tabs>
        <w:ind w:left="890" w:hanging="890"/>
      </w:pPr>
      <w:r>
        <w:t>[</w:t>
      </w:r>
      <w:r>
        <w:rPr>
          <w:b/>
        </w:rPr>
        <w:t>95</w:t>
      </w:r>
      <w:r>
        <w:rPr>
          <w:b/>
        </w:rPr>
        <w:noBreakHyphen/>
        <w:t>128.</w:t>
      </w:r>
      <w:r>
        <w:rPr>
          <w:b/>
        </w:rPr>
        <w:tab/>
      </w:r>
      <w:r>
        <w:t>Repealed in Gazette 25 Aug 1998 p. 4738.]</w:t>
      </w:r>
    </w:p>
    <w:p>
      <w:pPr>
        <w:pStyle w:val="Ednotesection"/>
        <w:tabs>
          <w:tab w:val="left" w:pos="1134"/>
        </w:tabs>
        <w:ind w:left="890" w:hanging="890"/>
      </w:pPr>
      <w:r>
        <w:t>[</w:t>
      </w:r>
      <w:r>
        <w:rPr>
          <w:b/>
        </w:rPr>
        <w:t>129</w:t>
      </w:r>
      <w:r>
        <w:rPr>
          <w:b/>
        </w:rPr>
        <w:noBreakHyphen/>
        <w:t>132.</w:t>
      </w:r>
      <w:r>
        <w:rPr>
          <w:b/>
        </w:rPr>
        <w:tab/>
      </w:r>
      <w:r>
        <w:t>Repealed in Gazette 22 Dec 1989 p. 4633.]</w:t>
      </w:r>
    </w:p>
    <w:p>
      <w:pPr>
        <w:pStyle w:val="Ednotesection"/>
        <w:tabs>
          <w:tab w:val="left" w:pos="1134"/>
        </w:tabs>
        <w:ind w:left="890" w:hanging="890"/>
      </w:pPr>
      <w:r>
        <w:t>[</w:t>
      </w:r>
      <w:r>
        <w:rPr>
          <w:b/>
        </w:rPr>
        <w:t>133</w:t>
      </w:r>
      <w:r>
        <w:rPr>
          <w:b/>
        </w:rPr>
        <w:noBreakHyphen/>
        <w:t>173.</w:t>
      </w:r>
      <w:r>
        <w:rPr>
          <w:b/>
        </w:rPr>
        <w:tab/>
      </w:r>
      <w:r>
        <w:t>Repealed in Gazette 25 Aug 1998 p. 4738.]</w:t>
      </w:r>
    </w:p>
    <w:p>
      <w:pPr>
        <w:pStyle w:val="Ednotesection"/>
        <w:tabs>
          <w:tab w:val="left" w:pos="1134"/>
        </w:tabs>
        <w:ind w:left="890" w:hanging="890"/>
      </w:pPr>
      <w:r>
        <w:t>[</w:t>
      </w:r>
      <w:r>
        <w:rPr>
          <w:b/>
        </w:rPr>
        <w:t>174, 175.</w:t>
      </w:r>
      <w:r>
        <w:tab/>
        <w:t>Repealed in Gazette 22 Dec 1989 p. 4633.]</w:t>
      </w:r>
    </w:p>
    <w:p>
      <w:pPr>
        <w:pStyle w:val="Ednotesection"/>
        <w:ind w:left="890" w:hanging="890"/>
      </w:pPr>
      <w:r>
        <w:t>[</w:t>
      </w:r>
      <w:r>
        <w:rPr>
          <w:b/>
        </w:rPr>
        <w:t>176.</w:t>
      </w:r>
      <w:r>
        <w:rPr>
          <w:b/>
        </w:rPr>
        <w:tab/>
      </w:r>
      <w:r>
        <w:t>Repealed in Gazette 28 Jun 2004 p. 2386</w:t>
      </w:r>
      <w:r>
        <w:noBreakHyphen/>
        <w:t>7.]</w:t>
      </w:r>
    </w:p>
    <w:p>
      <w:pPr>
        <w:pStyle w:val="Ednotesection"/>
        <w:ind w:left="890" w:hanging="890"/>
      </w:pPr>
      <w:r>
        <w:t>[</w:t>
      </w:r>
      <w:r>
        <w:rPr>
          <w:b/>
        </w:rPr>
        <w:t>177</w:t>
      </w:r>
      <w:r>
        <w:rPr>
          <w:b/>
        </w:rPr>
        <w:noBreakHyphen/>
        <w:t>196.</w:t>
      </w:r>
      <w:r>
        <w:tab/>
        <w:t>Repealed in Gazette 25 Aug 1998 p. 4738.]</w:t>
      </w:r>
    </w:p>
    <w:p>
      <w:pPr>
        <w:pStyle w:val="Ednotesection"/>
        <w:ind w:left="890" w:hanging="890"/>
      </w:pPr>
      <w:r>
        <w:t>[</w:t>
      </w:r>
      <w:r>
        <w:rPr>
          <w:b/>
        </w:rPr>
        <w:t>197.</w:t>
      </w:r>
      <w:r>
        <w:tab/>
        <w:t>Repealed in Gazette 22 Dec 1989 p. 4633.]</w:t>
      </w:r>
    </w:p>
    <w:p>
      <w:pPr>
        <w:pStyle w:val="Ednotesection"/>
        <w:ind w:left="890" w:hanging="890"/>
      </w:pPr>
      <w:r>
        <w:t>[</w:t>
      </w:r>
      <w:r>
        <w:rPr>
          <w:b/>
        </w:rPr>
        <w:t>198</w:t>
      </w:r>
      <w:r>
        <w:rPr>
          <w:b/>
        </w:rPr>
        <w:noBreakHyphen/>
        <w:t>206.</w:t>
      </w:r>
      <w:r>
        <w:rPr>
          <w:b/>
        </w:rPr>
        <w:tab/>
      </w:r>
      <w:r>
        <w:t>Repealed in Gazette 25 Aug 1998 p. 4738.]</w:t>
      </w:r>
    </w:p>
    <w:p>
      <w:pPr>
        <w:pStyle w:val="Ednotesection"/>
        <w:ind w:left="890" w:hanging="890"/>
      </w:pPr>
      <w:r>
        <w:t>[</w:t>
      </w:r>
      <w:r>
        <w:rPr>
          <w:b/>
        </w:rPr>
        <w:t>207.</w:t>
      </w:r>
      <w:r>
        <w:tab/>
        <w:t>Repealed in Gazette 22 Dec 1989 p. 4633.]</w:t>
      </w:r>
    </w:p>
    <w:p>
      <w:pPr>
        <w:pStyle w:val="Ednotesection"/>
        <w:ind w:left="890" w:hanging="890"/>
      </w:pPr>
      <w:r>
        <w:t>[</w:t>
      </w:r>
      <w:r>
        <w:rPr>
          <w:b/>
        </w:rPr>
        <w:t>208</w:t>
      </w:r>
      <w:r>
        <w:rPr>
          <w:b/>
        </w:rPr>
        <w:noBreakHyphen/>
        <w:t>223.</w:t>
      </w:r>
      <w:r>
        <w:rPr>
          <w:b/>
        </w:rPr>
        <w:tab/>
      </w:r>
      <w:r>
        <w:t>Repealed in Gazette 25 Aug 1998 p. 4738.]</w:t>
      </w:r>
    </w:p>
    <w:p>
      <w:pPr>
        <w:pStyle w:val="Heading2"/>
      </w:pPr>
      <w:bookmarkStart w:id="52" w:name="_Toc190838080"/>
      <w:bookmarkStart w:id="53" w:name="_Toc191091679"/>
      <w:bookmarkStart w:id="54" w:name="_Toc192993351"/>
      <w:bookmarkStart w:id="55" w:name="_Toc207441711"/>
      <w:r>
        <w:rPr>
          <w:rStyle w:val="CharPartNo"/>
        </w:rPr>
        <w:t>Part 5</w:t>
      </w:r>
      <w:r>
        <w:t> — </w:t>
      </w:r>
      <w:r>
        <w:rPr>
          <w:rStyle w:val="CharPartText"/>
        </w:rPr>
        <w:t>Certain fees</w:t>
      </w:r>
      <w:bookmarkEnd w:id="52"/>
      <w:bookmarkEnd w:id="53"/>
      <w:bookmarkEnd w:id="54"/>
      <w:bookmarkEnd w:id="55"/>
    </w:p>
    <w:p>
      <w:pPr>
        <w:pStyle w:val="Footnoteheading"/>
        <w:ind w:left="890"/>
      </w:pPr>
      <w:r>
        <w:tab/>
        <w:t>[Heading inserted in Gazette 25 Aug 1998 p. 4738.]</w:t>
      </w:r>
    </w:p>
    <w:p>
      <w:pPr>
        <w:pStyle w:val="Heading5"/>
      </w:pPr>
      <w:bookmarkStart w:id="56" w:name="_Toc207441712"/>
      <w:r>
        <w:rPr>
          <w:rStyle w:val="CharSectno"/>
        </w:rPr>
        <w:t>224</w:t>
      </w:r>
      <w:r>
        <w:t>.</w:t>
      </w:r>
      <w:r>
        <w:tab/>
        <w:t>Fees for statements etc.</w:t>
      </w:r>
      <w:bookmarkEnd w:id="56"/>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57" w:name="_Toc207441713"/>
      <w:r>
        <w:rPr>
          <w:rStyle w:val="CharSectno"/>
        </w:rPr>
        <w:t>225</w:t>
      </w:r>
      <w:r>
        <w:t>.</w:t>
      </w:r>
      <w:r>
        <w:tab/>
        <w:t>Fees for records, plans and diagrams</w:t>
      </w:r>
      <w:bookmarkEnd w:id="57"/>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58" w:name="_Toc207441714"/>
      <w:r>
        <w:rPr>
          <w:rStyle w:val="CharSectno"/>
        </w:rPr>
        <w:t>225A</w:t>
      </w:r>
      <w:r>
        <w:t>.</w:t>
      </w:r>
      <w:r>
        <w:tab/>
        <w:t>Amounts rounded</w:t>
      </w:r>
      <w:bookmarkEnd w:id="58"/>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59" w:name="_Toc190838084"/>
      <w:bookmarkStart w:id="60" w:name="_Toc191091683"/>
      <w:bookmarkStart w:id="61" w:name="_Toc192993355"/>
      <w:bookmarkStart w:id="62" w:name="_Toc207441715"/>
      <w:r>
        <w:rPr>
          <w:rStyle w:val="CharPartNo"/>
        </w:rPr>
        <w:t>Part 6</w:t>
      </w:r>
      <w:r>
        <w:t> — </w:t>
      </w:r>
      <w:r>
        <w:rPr>
          <w:rStyle w:val="CharPartText"/>
        </w:rPr>
        <w:t>General</w:t>
      </w:r>
      <w:bookmarkEnd w:id="59"/>
      <w:bookmarkEnd w:id="60"/>
      <w:bookmarkEnd w:id="61"/>
      <w:bookmarkEnd w:id="62"/>
    </w:p>
    <w:p>
      <w:pPr>
        <w:pStyle w:val="Footnoteheading"/>
        <w:ind w:left="890"/>
      </w:pPr>
      <w:r>
        <w:tab/>
        <w:t>[Heading inserted in Gazette 25 Aug 1998 p. 4738.]</w:t>
      </w:r>
    </w:p>
    <w:p>
      <w:pPr>
        <w:pStyle w:val="Ednotedivision"/>
        <w:spacing w:before="240"/>
      </w:pPr>
      <w:r>
        <w:t>[Division (1) repealed in Gazette 14 Jul 1987 p. 2658.]</w:t>
      </w:r>
    </w:p>
    <w:p>
      <w:pPr>
        <w:pStyle w:val="Heading3"/>
        <w:tabs>
          <w:tab w:val="left" w:pos="4200"/>
        </w:tabs>
        <w:spacing w:before="260"/>
      </w:pPr>
      <w:bookmarkStart w:id="63" w:name="_Toc190838085"/>
      <w:bookmarkStart w:id="64" w:name="_Toc191091684"/>
      <w:bookmarkStart w:id="65" w:name="_Toc192993356"/>
      <w:bookmarkStart w:id="66" w:name="_Toc207441716"/>
      <w:r>
        <w:rPr>
          <w:rStyle w:val="CharDivNo"/>
        </w:rPr>
        <w:t>Division (2)</w:t>
      </w:r>
      <w:r>
        <w:t> — </w:t>
      </w:r>
      <w:r>
        <w:rPr>
          <w:rStyle w:val="CharDivText"/>
        </w:rPr>
        <w:t>Offences and penalties</w:t>
      </w:r>
      <w:bookmarkEnd w:id="63"/>
      <w:bookmarkEnd w:id="64"/>
      <w:bookmarkEnd w:id="65"/>
      <w:bookmarkEnd w:id="66"/>
    </w:p>
    <w:p>
      <w:pPr>
        <w:pStyle w:val="Heading5"/>
        <w:spacing w:before="240"/>
      </w:pPr>
      <w:bookmarkStart w:id="67" w:name="_Toc207441717"/>
      <w:r>
        <w:rPr>
          <w:rStyle w:val="CharSectno"/>
        </w:rPr>
        <w:t>229</w:t>
      </w:r>
      <w:r>
        <w:t>.</w:t>
      </w:r>
      <w:r>
        <w:tab/>
        <w:t>Gratuities prohibited</w:t>
      </w:r>
      <w:bookmarkEnd w:id="67"/>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68" w:name="_Toc207441718"/>
      <w:r>
        <w:rPr>
          <w:rStyle w:val="CharSectno"/>
        </w:rPr>
        <w:t>230</w:t>
      </w:r>
      <w:r>
        <w:t>.</w:t>
      </w:r>
      <w:r>
        <w:tab/>
        <w:t>Junction or interference with pipes, sewers, or fittings</w:t>
      </w:r>
      <w:bookmarkEnd w:id="68"/>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6.</w:t>
      </w:r>
    </w:p>
    <w:p>
      <w:pPr>
        <w:pStyle w:val="Footnotesection"/>
      </w:pPr>
      <w:r>
        <w:tab/>
        <w:t>[By</w:t>
      </w:r>
      <w:r>
        <w:noBreakHyphen/>
        <w:t>law 230 amended in Gazette 1 Jul 1993 p. 3241; 29 Dec 1995 p. 6313 and 6314</w:t>
      </w:r>
      <w:r>
        <w:noBreakHyphen/>
        <w:t>15; 29 Jun 2001 p. 3234; 29 Jun 2007 p. 3238.]</w:t>
      </w:r>
    </w:p>
    <w:p>
      <w:pPr>
        <w:pStyle w:val="Heading5"/>
        <w:spacing w:before="240"/>
      </w:pPr>
      <w:bookmarkStart w:id="69" w:name="_Toc207441719"/>
      <w:r>
        <w:rPr>
          <w:rStyle w:val="CharSectno"/>
        </w:rPr>
        <w:t>231</w:t>
      </w:r>
      <w:r>
        <w:t>.</w:t>
      </w:r>
      <w:r>
        <w:tab/>
        <w:t>Obstruction of pipes, sewers, drains, or fittings</w:t>
      </w:r>
      <w:bookmarkEnd w:id="69"/>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70" w:name="_Toc207441720"/>
      <w:r>
        <w:rPr>
          <w:rStyle w:val="CharSectno"/>
        </w:rPr>
        <w:t>232</w:t>
      </w:r>
      <w:r>
        <w:t>.</w:t>
      </w:r>
      <w:r>
        <w:tab/>
        <w:t>Penalties</w:t>
      </w:r>
      <w:bookmarkEnd w:id="70"/>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w:t>
      </w:r>
    </w:p>
    <w:p>
      <w:pPr>
        <w:pStyle w:val="Heading3"/>
      </w:pPr>
      <w:bookmarkStart w:id="71" w:name="_Toc190838090"/>
      <w:bookmarkStart w:id="72" w:name="_Toc191091689"/>
      <w:bookmarkStart w:id="73" w:name="_Toc192993361"/>
      <w:bookmarkStart w:id="74" w:name="_Toc207441721"/>
      <w:r>
        <w:rPr>
          <w:rStyle w:val="CharDivNo"/>
        </w:rPr>
        <w:t>Division (3)</w:t>
      </w:r>
      <w:r>
        <w:t> — </w:t>
      </w:r>
      <w:r>
        <w:rPr>
          <w:rStyle w:val="CharDivText"/>
        </w:rPr>
        <w:t>Miscellaneous</w:t>
      </w:r>
      <w:bookmarkEnd w:id="71"/>
      <w:bookmarkEnd w:id="72"/>
      <w:bookmarkEnd w:id="73"/>
      <w:bookmarkEnd w:id="74"/>
    </w:p>
    <w:p>
      <w:pPr>
        <w:pStyle w:val="Ednotesection"/>
      </w:pPr>
      <w:r>
        <w:t>[</w:t>
      </w:r>
      <w:r>
        <w:rPr>
          <w:b/>
        </w:rPr>
        <w:t>233.</w:t>
      </w:r>
      <w:r>
        <w:rPr>
          <w:b/>
        </w:rPr>
        <w:tab/>
      </w:r>
      <w:r>
        <w:t>Repealed in Gazette 14 Jul 1987 p. 2658.]</w:t>
      </w:r>
    </w:p>
    <w:p>
      <w:pPr>
        <w:pStyle w:val="Heading5"/>
      </w:pPr>
      <w:bookmarkStart w:id="75" w:name="_Toc207441722"/>
      <w:r>
        <w:rPr>
          <w:rStyle w:val="CharSectno"/>
        </w:rPr>
        <w:t>234</w:t>
      </w:r>
      <w:r>
        <w:t>.</w:t>
      </w:r>
      <w:r>
        <w:tab/>
        <w:t>Authority to enter premises</w:t>
      </w:r>
      <w:bookmarkEnd w:id="75"/>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76" w:name="_Toc207441723"/>
      <w:r>
        <w:rPr>
          <w:rStyle w:val="CharSectno"/>
        </w:rPr>
        <w:t>235</w:t>
      </w:r>
      <w:r>
        <w:t>.</w:t>
      </w:r>
      <w:r>
        <w:tab/>
        <w:t>Standard drawings for fixtures and fittings</w:t>
      </w:r>
      <w:bookmarkEnd w:id="76"/>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7" w:name="_Toc190838093"/>
      <w:bookmarkStart w:id="78" w:name="_Toc191091692"/>
      <w:bookmarkStart w:id="79" w:name="_Toc192993364"/>
      <w:bookmarkStart w:id="80" w:name="_Toc207441724"/>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77"/>
      <w:bookmarkEnd w:id="78"/>
      <w:bookmarkEnd w:id="79"/>
      <w:bookmarkEnd w:id="80"/>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81" w:name="_Toc207441725"/>
      <w:bookmarkStart w:id="82" w:name="_Toc190838101"/>
      <w:bookmarkStart w:id="83" w:name="_Toc191091700"/>
      <w:bookmarkStart w:id="84" w:name="_Toc192993372"/>
      <w:r>
        <w:rPr>
          <w:rStyle w:val="CharSchNo"/>
        </w:rPr>
        <w:t>Schedule 2</w:t>
      </w:r>
      <w:r>
        <w:t> — </w:t>
      </w:r>
      <w:r>
        <w:rPr>
          <w:rStyle w:val="CharSchText"/>
        </w:rPr>
        <w:t>Fees</w:t>
      </w:r>
      <w:bookmarkEnd w:id="81"/>
    </w:p>
    <w:p>
      <w:pPr>
        <w:pStyle w:val="yFootnoteheading"/>
        <w:spacing w:after="60"/>
      </w:pPr>
      <w:r>
        <w:tab/>
        <w:t>[Heading inserted in Gazette 27 Jun 2008 p. 3079.]</w:t>
      </w:r>
    </w:p>
    <w:p>
      <w:pPr>
        <w:pStyle w:val="yHeading3"/>
      </w:pPr>
      <w:bookmarkStart w:id="85" w:name="_Toc139695727"/>
      <w:bookmarkStart w:id="86" w:name="_Toc147141556"/>
      <w:bookmarkStart w:id="87" w:name="_Toc163456102"/>
      <w:bookmarkStart w:id="88" w:name="_Toc163457617"/>
      <w:bookmarkStart w:id="89" w:name="_Toc207441726"/>
      <w:r>
        <w:rPr>
          <w:rStyle w:val="CharSDivNo"/>
        </w:rPr>
        <w:t>Division 1</w:t>
      </w:r>
      <w:r>
        <w:t xml:space="preserve"> — </w:t>
      </w:r>
      <w:r>
        <w:rPr>
          <w:rStyle w:val="CharSDivText"/>
        </w:rPr>
        <w:t>Plumbing fees</w:t>
      </w:r>
      <w:bookmarkEnd w:id="85"/>
      <w:bookmarkEnd w:id="86"/>
      <w:bookmarkEnd w:id="87"/>
      <w:bookmarkEnd w:id="88"/>
      <w:bookmarkEnd w:id="89"/>
    </w:p>
    <w:p>
      <w:pPr>
        <w:pStyle w:val="yShoulderClause"/>
      </w:pPr>
      <w:r>
        <w:t>[bl. 29(1)(c) and (1b)(c)]</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56"/>
        <w:gridCol w:w="4920"/>
        <w:gridCol w:w="1186"/>
      </w:tblGrid>
      <w:tr>
        <w:trPr>
          <w:cantSplit/>
        </w:trPr>
        <w:tc>
          <w:tcPr>
            <w:tcW w:w="556" w:type="dxa"/>
          </w:tcPr>
          <w:p>
            <w:pPr>
              <w:pStyle w:val="yTable"/>
            </w:pPr>
          </w:p>
        </w:tc>
        <w:tc>
          <w:tcPr>
            <w:tcW w:w="4920" w:type="dxa"/>
          </w:tcPr>
          <w:p>
            <w:pPr>
              <w:pStyle w:val="yTable"/>
              <w:tabs>
                <w:tab w:val="right" w:leader="dot" w:pos="5273"/>
              </w:tabs>
            </w:pPr>
          </w:p>
        </w:tc>
        <w:tc>
          <w:tcPr>
            <w:tcW w:w="1186" w:type="dxa"/>
          </w:tcPr>
          <w:p>
            <w:pPr>
              <w:pStyle w:val="yTable"/>
              <w:jc w:val="center"/>
              <w:rPr>
                <w:b/>
              </w:rPr>
            </w:pPr>
            <w:r>
              <w:rPr>
                <w:b/>
              </w:rPr>
              <w:t>$</w:t>
            </w:r>
          </w:p>
        </w:tc>
      </w:tr>
      <w:tr>
        <w:tc>
          <w:tcPr>
            <w:tcW w:w="556" w:type="dxa"/>
          </w:tcPr>
          <w:p>
            <w:pPr>
              <w:pStyle w:val="yTable"/>
            </w:pPr>
            <w:r>
              <w:t>1.</w:t>
            </w:r>
          </w:p>
        </w:tc>
        <w:tc>
          <w:tcPr>
            <w:tcW w:w="4920" w:type="dxa"/>
          </w:tcPr>
          <w:p>
            <w:pPr>
              <w:pStyle w:val="yTable"/>
              <w:tabs>
                <w:tab w:val="right" w:leader="dot" w:pos="5273"/>
              </w:tabs>
            </w:pPr>
            <w:r>
              <w:t>Fee in respect of a proposal to connect plumbing</w:t>
            </w:r>
            <w:r>
              <w:br/>
              <w:t xml:space="preserve">to the sewer </w:t>
            </w:r>
            <w:r>
              <w:tab/>
            </w:r>
          </w:p>
        </w:tc>
        <w:tc>
          <w:tcPr>
            <w:tcW w:w="1186" w:type="dxa"/>
          </w:tcPr>
          <w:p>
            <w:pPr>
              <w:pStyle w:val="yTable"/>
              <w:tabs>
                <w:tab w:val="decimal" w:pos="511"/>
              </w:tabs>
              <w:ind w:right="99"/>
            </w:pPr>
            <w:r>
              <w:br/>
              <w:t>17.20</w:t>
            </w:r>
          </w:p>
        </w:tc>
      </w:tr>
    </w:tbl>
    <w:p>
      <w:pPr>
        <w:pStyle w:val="yFootnotesection"/>
      </w:pPr>
      <w:bookmarkStart w:id="90" w:name="_Toc139695728"/>
      <w:bookmarkStart w:id="91" w:name="_Toc147141557"/>
      <w:bookmarkStart w:id="92" w:name="_Toc163456103"/>
      <w:bookmarkStart w:id="93" w:name="_Toc163457618"/>
      <w:r>
        <w:tab/>
        <w:t>[Division 1 inserted in Gazette 27 Jun 2008 p. 3079.]</w:t>
      </w:r>
    </w:p>
    <w:p>
      <w:pPr>
        <w:pStyle w:val="yHeading3"/>
      </w:pPr>
      <w:bookmarkStart w:id="94" w:name="_Toc207441727"/>
      <w:r>
        <w:rPr>
          <w:rStyle w:val="CharSDivNo"/>
        </w:rPr>
        <w:t>Division 2</w:t>
      </w:r>
      <w:r>
        <w:t xml:space="preserve"> — </w:t>
      </w:r>
      <w:r>
        <w:rPr>
          <w:rStyle w:val="CharSDivText"/>
        </w:rPr>
        <w:t>Fees under section 41A</w:t>
      </w:r>
      <w:bookmarkEnd w:id="90"/>
      <w:bookmarkEnd w:id="91"/>
      <w:bookmarkEnd w:id="92"/>
      <w:bookmarkEnd w:id="93"/>
      <w:bookmarkEnd w:id="94"/>
    </w:p>
    <w:p>
      <w:pPr>
        <w:pStyle w:val="yShoulderClause"/>
      </w:pPr>
      <w:r>
        <w:t>[bl. 29(1)(b)]</w:t>
      </w:r>
    </w:p>
    <w:p>
      <w:pPr>
        <w:pStyle w:val="yFootnoteheading"/>
        <w:spacing w:after="60"/>
      </w:pPr>
      <w:r>
        <w:tab/>
        <w:t>[Heading inserted in Gazette 27 Jun 2008 p. 3079.]</w:t>
      </w:r>
    </w:p>
    <w:tbl>
      <w:tblPr>
        <w:tblW w:w="0" w:type="auto"/>
        <w:tblInd w:w="392" w:type="dxa"/>
        <w:tblLayout w:type="fixed"/>
        <w:tblLook w:val="0000" w:firstRow="0" w:lastRow="0" w:firstColumn="0" w:lastColumn="0" w:noHBand="0" w:noVBand="0"/>
      </w:tblPr>
      <w:tblGrid>
        <w:gridCol w:w="567"/>
        <w:gridCol w:w="4888"/>
        <w:gridCol w:w="1207"/>
      </w:tblGrid>
      <w:tr>
        <w:trPr>
          <w:cantSplit/>
        </w:trPr>
        <w:tc>
          <w:tcPr>
            <w:tcW w:w="567" w:type="dxa"/>
          </w:tcPr>
          <w:p>
            <w:pPr>
              <w:pStyle w:val="yTable"/>
            </w:pPr>
          </w:p>
        </w:tc>
        <w:tc>
          <w:tcPr>
            <w:tcW w:w="4888" w:type="dxa"/>
          </w:tcPr>
          <w:p>
            <w:pPr>
              <w:pStyle w:val="yTable"/>
              <w:tabs>
                <w:tab w:val="right" w:leader="dot" w:pos="5273"/>
              </w:tabs>
            </w:pPr>
          </w:p>
        </w:tc>
        <w:tc>
          <w:tcPr>
            <w:tcW w:w="1207" w:type="dxa"/>
          </w:tcPr>
          <w:p>
            <w:pPr>
              <w:pStyle w:val="yTable"/>
              <w:ind w:right="-108"/>
              <w:jc w:val="center"/>
              <w:rPr>
                <w:b/>
              </w:rPr>
            </w:pPr>
            <w:r>
              <w:rPr>
                <w:b/>
              </w:rPr>
              <w:t>$</w:t>
            </w:r>
          </w:p>
        </w:tc>
      </w:tr>
      <w:tr>
        <w:trPr>
          <w:cantSplit/>
        </w:trPr>
        <w:tc>
          <w:tcPr>
            <w:tcW w:w="567" w:type="dxa"/>
          </w:tcPr>
          <w:p>
            <w:pPr>
              <w:pStyle w:val="yTable"/>
            </w:pPr>
            <w:r>
              <w:t>2.</w:t>
            </w:r>
          </w:p>
        </w:tc>
        <w:tc>
          <w:tcPr>
            <w:tcW w:w="4888" w:type="dxa"/>
          </w:tcPr>
          <w:p>
            <w:pPr>
              <w:pStyle w:val="yTable"/>
              <w:tabs>
                <w:tab w:val="right" w:leader="dot" w:pos="5273"/>
              </w:tabs>
            </w:pPr>
            <w:r>
              <w:t>In respect of land on which it is proposed to —</w:t>
            </w:r>
          </w:p>
        </w:tc>
        <w:tc>
          <w:tcPr>
            <w:tcW w:w="1207" w:type="dxa"/>
          </w:tcPr>
          <w:p>
            <w:pPr>
              <w:pStyle w:val="yTable"/>
              <w:tabs>
                <w:tab w:val="decimal" w:pos="532"/>
              </w:tabs>
              <w:ind w:right="-108"/>
              <w:jc w:val="right"/>
            </w:pPr>
          </w:p>
        </w:tc>
      </w:tr>
      <w:tr>
        <w:trPr>
          <w:cantSplit/>
        </w:trPr>
        <w:tc>
          <w:tcPr>
            <w:tcW w:w="567" w:type="dxa"/>
          </w:tcPr>
          <w:p>
            <w:pPr>
              <w:pStyle w:val="yTable"/>
            </w:pPr>
          </w:p>
        </w:tc>
        <w:tc>
          <w:tcPr>
            <w:tcW w:w="4888" w:type="dxa"/>
          </w:tcPr>
          <w:p>
            <w:pPr>
              <w:pStyle w:val="yTable"/>
              <w:tabs>
                <w:tab w:val="left" w:pos="265"/>
                <w:tab w:val="left" w:pos="690"/>
                <w:tab w:val="right" w:leader="dot" w:pos="5103"/>
              </w:tabs>
              <w:ind w:left="709" w:hanging="709"/>
            </w:pPr>
            <w:r>
              <w:tab/>
              <w:t>(a)</w:t>
            </w:r>
            <w:r>
              <w:tab/>
            </w:r>
            <w:r>
              <w:rPr>
                <w:spacing w:val="-4"/>
              </w:rPr>
              <w:t xml:space="preserve">construct a new residential building or </w:t>
            </w:r>
            <w:r>
              <w:t xml:space="preserve">alter an existing residential building </w:t>
            </w:r>
            <w:r>
              <w:tab/>
            </w:r>
          </w:p>
        </w:tc>
        <w:tc>
          <w:tcPr>
            <w:tcW w:w="1207" w:type="dxa"/>
          </w:tcPr>
          <w:p>
            <w:pPr>
              <w:pStyle w:val="yTable"/>
              <w:tabs>
                <w:tab w:val="decimal" w:pos="532"/>
              </w:tabs>
              <w:ind w:right="-108"/>
              <w:rPr>
                <w:iCs/>
                <w:spacing w:val="-1"/>
              </w:rPr>
            </w:pPr>
            <w:r>
              <w:rPr>
                <w:spacing w:val="-1"/>
              </w:rPr>
              <w:br/>
              <w:t>106.</w:t>
            </w:r>
            <w:r>
              <w:t>00</w:t>
            </w:r>
            <w: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(b)</w:t>
            </w:r>
            <w:r>
              <w:tab/>
            </w:r>
            <w:r>
              <w:rPr>
                <w:spacing w:val="-4"/>
              </w:rPr>
              <w:t>construct an outbuilding to a residential building (including a pool, garage or pergola)</w:t>
            </w:r>
            <w:r>
              <w:t xml:space="preserve"> </w:t>
            </w:r>
          </w:p>
        </w:tc>
        <w:tc>
          <w:tcPr>
            <w:tcW w:w="1207" w:type="dxa"/>
          </w:tcPr>
          <w:p>
            <w:pPr>
              <w:pStyle w:val="yTable"/>
              <w:tabs>
                <w:tab w:val="decimal" w:pos="532"/>
              </w:tabs>
              <w:ind w:right="-108"/>
              <w:rPr>
                <w:spacing w:val="-1"/>
              </w:rPr>
            </w:pPr>
            <w:r>
              <w:rPr>
                <w:spacing w:val="-1"/>
              </w:rPr>
              <w:br/>
              <w:t>31.00</w:t>
            </w:r>
            <w:r>
              <w:rPr>
                <w:spacing w:val="-1"/>
              </w:rPr>
              <w:br/>
            </w:r>
            <w:r>
              <w:rPr>
                <w:i/>
                <w:spacing w:val="-4"/>
                <w:sz w:val="18"/>
              </w:rPr>
              <w:t>per residential unit</w:t>
            </w:r>
          </w:p>
        </w:tc>
      </w:tr>
      <w:tr>
        <w:trPr>
          <w:cantSplit/>
        </w:trPr>
        <w:tc>
          <w:tcPr>
            <w:tcW w:w="567" w:type="dxa"/>
          </w:tcPr>
          <w:p>
            <w:pPr>
              <w:pStyle w:val="yTable"/>
            </w:pPr>
          </w:p>
        </w:tc>
        <w:tc>
          <w:tcPr>
            <w:tcW w:w="4888" w:type="dxa"/>
          </w:tcPr>
          <w:p>
            <w:pPr>
              <w:pStyle w:val="yTable"/>
              <w:tabs>
                <w:tab w:val="left" w:pos="265"/>
                <w:tab w:val="left" w:pos="690"/>
                <w:tab w:val="right" w:leader="dot" w:pos="5103"/>
                <w:tab w:val="right" w:leader="dot" w:pos="5273"/>
              </w:tabs>
              <w:ind w:left="709" w:hanging="709"/>
            </w:pPr>
            <w:r>
              <w:tab/>
              <w:t>(c)</w:t>
            </w:r>
            <w:r>
              <w:tab/>
              <w:t>construct or alter a building other than a residential building — an amount based on the cost of the construction or alteration as assessed by the Corporation, of —</w:t>
            </w:r>
          </w:p>
        </w:tc>
        <w:tc>
          <w:tcPr>
            <w:tcW w:w="1207" w:type="dxa"/>
          </w:tcPr>
          <w:p>
            <w:pPr>
              <w:pStyle w:val="yTable"/>
              <w:tabs>
                <w:tab w:val="decimal" w:pos="532"/>
              </w:tabs>
              <w:ind w:right="-108"/>
              <w:jc w:val="right"/>
              <w:rPr>
                <w:spacing w:val="-1"/>
              </w:rPr>
            </w:pP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up to $22 500 </w:t>
            </w:r>
            <w:r>
              <w:tab/>
            </w:r>
          </w:p>
        </w:tc>
        <w:tc>
          <w:tcPr>
            <w:tcW w:w="1207" w:type="dxa"/>
          </w:tcPr>
          <w:p>
            <w:pPr>
              <w:pStyle w:val="yTable"/>
              <w:tabs>
                <w:tab w:val="decimal" w:pos="532"/>
              </w:tabs>
              <w:ind w:right="-108"/>
              <w:rPr>
                <w:spacing w:val="-1"/>
              </w:rPr>
            </w:pPr>
            <w:r>
              <w:rPr>
                <w:spacing w:val="-1"/>
              </w:rPr>
              <w:t>25.00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$22 500 but not over $200 000 </w:t>
            </w:r>
            <w:r>
              <w:rPr>
                <w:spacing w:val="-4"/>
              </w:rPr>
              <w:tab/>
              <w:t>.</w:t>
            </w:r>
          </w:p>
        </w:tc>
        <w:tc>
          <w:tcPr>
            <w:tcW w:w="1207" w:type="dxa"/>
          </w:tcPr>
          <w:p>
            <w:pPr>
              <w:pStyle w:val="yTable"/>
              <w:tabs>
                <w:tab w:val="decimal" w:pos="532"/>
              </w:tabs>
              <w:ind w:right="-108"/>
              <w:rPr>
                <w:spacing w:val="-1"/>
              </w:rPr>
            </w:pPr>
            <w:r>
              <w:rPr>
                <w:spacing w:val="-1"/>
              </w:rPr>
              <w:t>85.00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$200 000 but not over $500 000 </w:t>
            </w:r>
            <w:r>
              <w:rPr>
                <w:spacing w:val="-4"/>
              </w:rPr>
              <w:tab/>
            </w:r>
          </w:p>
        </w:tc>
        <w:tc>
          <w:tcPr>
            <w:tcW w:w="1207" w:type="dxa"/>
          </w:tcPr>
          <w:p>
            <w:pPr>
              <w:pStyle w:val="yTable"/>
              <w:tabs>
                <w:tab w:val="decimal" w:pos="532"/>
              </w:tabs>
              <w:ind w:right="-108"/>
              <w:rPr>
                <w:spacing w:val="-1"/>
              </w:rPr>
            </w:pPr>
            <w:r>
              <w:rPr>
                <w:spacing w:val="-1"/>
              </w:rPr>
              <w:t>330.00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$500 000 but not over $1 000 000 </w:t>
            </w:r>
            <w:r>
              <w:rPr>
                <w:spacing w:val="-4"/>
              </w:rPr>
              <w:tab/>
            </w:r>
          </w:p>
        </w:tc>
        <w:tc>
          <w:tcPr>
            <w:tcW w:w="1207" w:type="dxa"/>
          </w:tcPr>
          <w:p>
            <w:pPr>
              <w:pStyle w:val="yTable"/>
              <w:tabs>
                <w:tab w:val="decimal" w:pos="532"/>
              </w:tabs>
              <w:ind w:right="-108"/>
              <w:rPr>
                <w:spacing w:val="-1"/>
              </w:rPr>
            </w:pPr>
            <w:r>
              <w:rPr>
                <w:spacing w:val="-1"/>
              </w:rPr>
              <w:t>550.00</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rPr>
                <w:spacing w:val="-4"/>
              </w:rPr>
            </w:pPr>
            <w:r>
              <w:tab/>
            </w:r>
            <w:r>
              <w:rPr>
                <w:spacing w:val="-4"/>
              </w:rPr>
              <w:t xml:space="preserve">over $1 000 000 but not over $10 000 000 </w:t>
            </w:r>
            <w:r>
              <w:rPr>
                <w:spacing w:val="-4"/>
              </w:rPr>
              <w:tab/>
            </w:r>
          </w:p>
        </w:tc>
        <w:tc>
          <w:tcPr>
            <w:tcW w:w="1207" w:type="dxa"/>
          </w:tcPr>
          <w:p>
            <w:pPr>
              <w:pStyle w:val="yTable"/>
              <w:tabs>
                <w:tab w:val="decimal" w:pos="532"/>
              </w:tabs>
              <w:ind w:right="-108"/>
              <w:rPr>
                <w:spacing w:val="-1"/>
              </w:rPr>
            </w:pPr>
            <w:r>
              <w:rPr>
                <w:spacing w:val="-1"/>
              </w:rPr>
              <w:t>0.90</w:t>
            </w:r>
            <w:r>
              <w:rPr>
                <w:spacing w:val="-4"/>
                <w:sz w:val="18"/>
              </w:rPr>
              <w:t xml:space="preserve"> </w:t>
            </w:r>
            <w:r>
              <w:rPr>
                <w:spacing w:val="-4"/>
                <w:sz w:val="18"/>
              </w:rPr>
              <w:br/>
            </w:r>
            <w:r>
              <w:rPr>
                <w:i/>
                <w:iCs/>
                <w:spacing w:val="-4"/>
                <w:sz w:val="18"/>
              </w:rPr>
              <w:t>per $1 000 or part of $1 000 of construction cost</w:t>
            </w:r>
          </w:p>
        </w:tc>
      </w:tr>
      <w:tr>
        <w:trPr>
          <w:cantSplit/>
        </w:trPr>
        <w:tc>
          <w:tcPr>
            <w:tcW w:w="567" w:type="dxa"/>
          </w:tcPr>
          <w:p>
            <w:pPr>
              <w:pStyle w:val="yTable"/>
            </w:pPr>
          </w:p>
        </w:tc>
        <w:tc>
          <w:tcPr>
            <w:tcW w:w="4888" w:type="dxa"/>
          </w:tcPr>
          <w:p>
            <w:pPr>
              <w:pStyle w:val="yTable"/>
              <w:tabs>
                <w:tab w:val="left" w:pos="690"/>
                <w:tab w:val="left" w:pos="1116"/>
                <w:tab w:val="right" w:leader="dot" w:pos="5103"/>
                <w:tab w:val="right" w:leader="dot" w:pos="5273"/>
              </w:tabs>
            </w:pPr>
            <w:r>
              <w:tab/>
              <w:t xml:space="preserve">over $10 000 000 </w:t>
            </w:r>
            <w:r>
              <w:tab/>
            </w:r>
          </w:p>
        </w:tc>
        <w:tc>
          <w:tcPr>
            <w:tcW w:w="1207" w:type="dxa"/>
          </w:tcPr>
          <w:p>
            <w:pPr>
              <w:pStyle w:val="yTable"/>
              <w:tabs>
                <w:tab w:val="decimal" w:pos="532"/>
              </w:tabs>
              <w:ind w:right="-108"/>
              <w:rPr>
                <w:spacing w:val="-1"/>
              </w:rPr>
            </w:pPr>
            <w:r>
              <w:rPr>
                <w:spacing w:val="-1"/>
              </w:rPr>
              <w:t>9 000</w:t>
            </w:r>
            <w:r>
              <w:rPr>
                <w:spacing w:val="-1"/>
              </w:rPr>
              <w:br/>
              <w:t>+ 0.25</w:t>
            </w:r>
            <w:r>
              <w:rPr>
                <w:spacing w:val="-1"/>
              </w:rPr>
              <w:br/>
            </w:r>
            <w:r>
              <w:rPr>
                <w:i/>
                <w:iCs/>
                <w:spacing w:val="-4"/>
                <w:sz w:val="18"/>
              </w:rPr>
              <w:t>per $1 000 or part of $1 000 of construction cost above $10 000 000</w:t>
            </w:r>
          </w:p>
        </w:tc>
      </w:tr>
    </w:tbl>
    <w:p>
      <w:pPr>
        <w:pStyle w:val="yFootnotesection"/>
      </w:pPr>
      <w:bookmarkStart w:id="95" w:name="_Toc139695729"/>
      <w:bookmarkStart w:id="96" w:name="_Toc147141558"/>
      <w:bookmarkStart w:id="97" w:name="_Toc163456104"/>
      <w:bookmarkStart w:id="98" w:name="_Toc163457619"/>
      <w:r>
        <w:tab/>
        <w:t>[Division 2 inserted in Gazette 27 Jun 2008 p. 3079</w:t>
      </w:r>
      <w:r>
        <w:noBreakHyphen/>
        <w:t>80.]</w:t>
      </w:r>
    </w:p>
    <w:p>
      <w:pPr>
        <w:pStyle w:val="yHeading3"/>
      </w:pPr>
      <w:bookmarkStart w:id="99" w:name="_Toc207441728"/>
      <w:r>
        <w:rPr>
          <w:rStyle w:val="CharSDivNo"/>
        </w:rPr>
        <w:t>Division 3</w:t>
      </w:r>
      <w:r>
        <w:t xml:space="preserve"> — </w:t>
      </w:r>
      <w:r>
        <w:rPr>
          <w:rStyle w:val="CharSDivText"/>
        </w:rPr>
        <w:t>Fees for copies of records, plans and diagrams</w:t>
      </w:r>
      <w:bookmarkEnd w:id="95"/>
      <w:bookmarkEnd w:id="96"/>
      <w:bookmarkEnd w:id="97"/>
      <w:bookmarkEnd w:id="98"/>
      <w:bookmarkEnd w:id="99"/>
    </w:p>
    <w:p>
      <w:pPr>
        <w:pStyle w:val="yShoulderClause"/>
      </w:pPr>
      <w:r>
        <w:t>[bl. 225]</w:t>
      </w:r>
    </w:p>
    <w:p>
      <w:pPr>
        <w:pStyle w:val="yFootnoteheading"/>
        <w:spacing w:after="60"/>
      </w:pPr>
      <w:r>
        <w:tab/>
        <w:t>[Heading inserted in Gazette 27 Jun 2008 p. 3080.]</w:t>
      </w:r>
    </w:p>
    <w:tbl>
      <w:tblPr>
        <w:tblW w:w="0" w:type="auto"/>
        <w:tblInd w:w="397" w:type="dxa"/>
        <w:tblLayout w:type="fixed"/>
        <w:tblCellMar>
          <w:left w:w="113" w:type="dxa"/>
          <w:right w:w="113" w:type="dxa"/>
        </w:tblCellMar>
        <w:tblLook w:val="0000" w:firstRow="0" w:lastRow="0" w:firstColumn="0" w:lastColumn="0" w:noHBand="0" w:noVBand="0"/>
      </w:tblPr>
      <w:tblGrid>
        <w:gridCol w:w="556"/>
        <w:gridCol w:w="4885"/>
        <w:gridCol w:w="1221"/>
      </w:tblGrid>
      <w:tr>
        <w:tc>
          <w:tcPr>
            <w:tcW w:w="5441" w:type="dxa"/>
            <w:gridSpan w:val="2"/>
          </w:tcPr>
          <w:p>
            <w:pPr>
              <w:pStyle w:val="yTable"/>
              <w:tabs>
                <w:tab w:val="right" w:pos="1452"/>
                <w:tab w:val="right" w:leader="dot" w:pos="5273"/>
              </w:tabs>
              <w:spacing w:line="240" w:lineRule="atLeast"/>
              <w:jc w:val="center"/>
              <w:rPr>
                <w:b/>
                <w:spacing w:val="-1"/>
              </w:rPr>
            </w:pPr>
          </w:p>
        </w:tc>
        <w:tc>
          <w:tcPr>
            <w:tcW w:w="1221" w:type="dxa"/>
          </w:tcPr>
          <w:p>
            <w:pPr>
              <w:pStyle w:val="yTable"/>
              <w:tabs>
                <w:tab w:val="right" w:pos="1452"/>
              </w:tabs>
              <w:spacing w:line="240" w:lineRule="atLeast"/>
              <w:jc w:val="center"/>
              <w:rPr>
                <w:b/>
                <w:spacing w:val="-1"/>
              </w:rPr>
            </w:pPr>
            <w:r>
              <w:rPr>
                <w:b/>
                <w:spacing w:val="-1"/>
              </w:rPr>
              <w:t>$</w:t>
            </w:r>
          </w:p>
        </w:tc>
      </w:tr>
      <w:tr>
        <w:trPr>
          <w:cantSplit/>
        </w:trPr>
        <w:tc>
          <w:tcPr>
            <w:tcW w:w="556" w:type="dxa"/>
          </w:tcPr>
          <w:p>
            <w:pPr>
              <w:pStyle w:val="yTable"/>
              <w:tabs>
                <w:tab w:val="left" w:pos="-283"/>
                <w:tab w:val="right" w:leader="dot" w:pos="5103"/>
                <w:tab w:val="right" w:leader="dot" w:pos="5273"/>
              </w:tabs>
            </w:pPr>
            <w:r>
              <w:t>3.</w:t>
            </w:r>
          </w:p>
        </w:tc>
        <w:tc>
          <w:tcPr>
            <w:tcW w:w="4885" w:type="dxa"/>
          </w:tcPr>
          <w:p>
            <w:pPr>
              <w:pStyle w:val="yTable"/>
              <w:keepNext/>
              <w:keepLines/>
              <w:tabs>
                <w:tab w:val="right" w:leader="dot" w:pos="5273"/>
              </w:tabs>
              <w:ind w:left="6"/>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21" w:type="dxa"/>
          </w:tcPr>
          <w:p>
            <w:pPr>
              <w:pStyle w:val="yTable"/>
              <w:tabs>
                <w:tab w:val="decimal" w:pos="532"/>
              </w:tabs>
              <w:ind w:right="99"/>
              <w:rPr>
                <w:spacing w:val="-1"/>
              </w:rPr>
            </w:pPr>
            <w:r>
              <w:rPr>
                <w:spacing w:val="-1"/>
              </w:rPr>
              <w:br/>
            </w:r>
            <w:r>
              <w:rPr>
                <w:spacing w:val="-1"/>
              </w:rPr>
              <w:br/>
            </w:r>
            <w:r>
              <w:rPr>
                <w:spacing w:val="-1"/>
              </w:rPr>
              <w:br/>
              <w:t>13.20</w:t>
            </w:r>
          </w:p>
        </w:tc>
      </w:tr>
      <w:tr>
        <w:trPr>
          <w:cantSplit/>
        </w:trPr>
        <w:tc>
          <w:tcPr>
            <w:tcW w:w="556" w:type="dxa"/>
          </w:tcPr>
          <w:p>
            <w:pPr>
              <w:pStyle w:val="yTable"/>
              <w:tabs>
                <w:tab w:val="left" w:pos="-283"/>
                <w:tab w:val="right" w:leader="dot" w:pos="5103"/>
                <w:tab w:val="right" w:leader="dot" w:pos="5273"/>
              </w:tabs>
            </w:pPr>
            <w:r>
              <w:t>4.</w:t>
            </w:r>
          </w:p>
        </w:tc>
        <w:tc>
          <w:tcPr>
            <w:tcW w:w="4885" w:type="dxa"/>
          </w:tcPr>
          <w:p>
            <w:pPr>
              <w:pStyle w:val="yTable"/>
              <w:tabs>
                <w:tab w:val="right" w:leader="dot" w:pos="5103"/>
                <w:tab w:val="right" w:leader="dot" w:pos="5273"/>
              </w:tabs>
              <w:ind w:left="7" w:right="-163" w:hanging="1"/>
            </w:pPr>
            <w:r>
              <w:t xml:space="preserve">Property sewer diagram (per A4 copy) </w:t>
            </w:r>
            <w:r>
              <w:tab/>
            </w:r>
          </w:p>
        </w:tc>
        <w:tc>
          <w:tcPr>
            <w:tcW w:w="1221" w:type="dxa"/>
          </w:tcPr>
          <w:p>
            <w:pPr>
              <w:pStyle w:val="yTable"/>
              <w:tabs>
                <w:tab w:val="decimal" w:pos="532"/>
              </w:tabs>
              <w:ind w:right="99"/>
              <w:rPr>
                <w:spacing w:val="-1"/>
              </w:rPr>
            </w:pPr>
            <w:r>
              <w:rPr>
                <w:spacing w:val="-1"/>
              </w:rPr>
              <w:t>13.20</w:t>
            </w:r>
          </w:p>
        </w:tc>
      </w:tr>
    </w:tbl>
    <w:p>
      <w:pPr>
        <w:pStyle w:val="yFootnotesection"/>
      </w:pPr>
      <w:bookmarkStart w:id="100" w:name="_Toc139695730"/>
      <w:bookmarkStart w:id="101" w:name="_Toc147141559"/>
      <w:bookmarkStart w:id="102" w:name="_Toc163456105"/>
      <w:bookmarkStart w:id="103" w:name="_Toc163457620"/>
      <w:r>
        <w:tab/>
        <w:t>[Division 3 inserted in Gazette 27 Jun 2008 p. 3080.]</w:t>
      </w:r>
    </w:p>
    <w:p>
      <w:pPr>
        <w:pStyle w:val="yHeading3"/>
      </w:pPr>
      <w:bookmarkStart w:id="104" w:name="_Toc207441729"/>
      <w:r>
        <w:rPr>
          <w:rStyle w:val="CharSDivNo"/>
        </w:rPr>
        <w:t>Division 4</w:t>
      </w:r>
      <w:r>
        <w:t xml:space="preserve"> — </w:t>
      </w:r>
      <w:r>
        <w:rPr>
          <w:rStyle w:val="CharSDivText"/>
        </w:rPr>
        <w:t>Statements and information</w:t>
      </w:r>
      <w:bookmarkEnd w:id="100"/>
      <w:bookmarkEnd w:id="101"/>
      <w:bookmarkEnd w:id="102"/>
      <w:bookmarkEnd w:id="103"/>
      <w:bookmarkEnd w:id="104"/>
    </w:p>
    <w:p>
      <w:pPr>
        <w:pStyle w:val="yShoulderClause"/>
      </w:pPr>
      <w:r>
        <w:t>[bl. 224]</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42"/>
        <w:gridCol w:w="4885"/>
        <w:gridCol w:w="1235"/>
      </w:tblGrid>
      <w:tr>
        <w:trPr>
          <w:cantSplit/>
        </w:trPr>
        <w:tc>
          <w:tcPr>
            <w:tcW w:w="542" w:type="dxa"/>
          </w:tcPr>
          <w:p>
            <w:pPr>
              <w:pStyle w:val="zytable"/>
              <w:ind w:left="0" w:right="0"/>
            </w:pPr>
          </w:p>
        </w:tc>
        <w:tc>
          <w:tcPr>
            <w:tcW w:w="4885" w:type="dxa"/>
          </w:tcPr>
          <w:p>
            <w:pPr>
              <w:pStyle w:val="yTable"/>
            </w:pPr>
          </w:p>
        </w:tc>
        <w:tc>
          <w:tcPr>
            <w:tcW w:w="1235" w:type="dxa"/>
          </w:tcPr>
          <w:p>
            <w:pPr>
              <w:pStyle w:val="yTable"/>
              <w:jc w:val="center"/>
            </w:pPr>
            <w:r>
              <w:rPr>
                <w:b/>
              </w:rPr>
              <w:t>$</w:t>
            </w:r>
          </w:p>
        </w:tc>
      </w:tr>
      <w:tr>
        <w:trPr>
          <w:cantSplit/>
        </w:trPr>
        <w:tc>
          <w:tcPr>
            <w:tcW w:w="542" w:type="dxa"/>
          </w:tcPr>
          <w:p>
            <w:pPr>
              <w:pStyle w:val="yTable"/>
            </w:pPr>
            <w:r>
              <w:t>5.</w:t>
            </w:r>
          </w:p>
        </w:tc>
        <w:tc>
          <w:tcPr>
            <w:tcW w:w="4885" w:type="dxa"/>
          </w:tcPr>
          <w:p>
            <w:pPr>
              <w:pStyle w:val="yTable"/>
              <w:tabs>
                <w:tab w:val="right" w:leader="dot" w:pos="527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36.40</w:t>
            </w:r>
          </w:p>
        </w:tc>
      </w:tr>
      <w:tr>
        <w:trPr>
          <w:cantSplit/>
        </w:trPr>
        <w:tc>
          <w:tcPr>
            <w:tcW w:w="542" w:type="dxa"/>
          </w:tcPr>
          <w:p>
            <w:pPr>
              <w:pStyle w:val="yTable"/>
            </w:pPr>
            <w:r>
              <w:t>6.</w:t>
            </w:r>
          </w:p>
        </w:tc>
        <w:tc>
          <w:tcPr>
            <w:tcW w:w="4885" w:type="dxa"/>
          </w:tcPr>
          <w:p>
            <w:pPr>
              <w:pStyle w:val="yTable"/>
              <w:tabs>
                <w:tab w:val="right" w:leader="dot" w:pos="5273"/>
              </w:tabs>
            </w:pPr>
            <w:r>
              <w:t xml:space="preserve">Lodgment other than under item 7 of a combined request for a copy of any portion of the records kept under section 69A of the </w:t>
            </w:r>
            <w:r>
              <w:rPr>
                <w:i/>
              </w:rPr>
              <w:t>Water Agencies (Powers) Act 1984</w:t>
            </w:r>
            <w:r>
              <w:t xml:space="preserve"> and answers to orders and requisitions in relation to land </w:t>
            </w:r>
            <w:r>
              <w:tab/>
            </w:r>
          </w:p>
        </w:tc>
        <w:tc>
          <w:tcPr>
            <w:tcW w:w="1235" w:type="dxa"/>
          </w:tcPr>
          <w:p>
            <w:pPr>
              <w:pStyle w:val="yTable"/>
              <w:tabs>
                <w:tab w:val="decimal" w:pos="532"/>
              </w:tabs>
            </w:pPr>
            <w:r>
              <w:br/>
            </w:r>
            <w:r>
              <w:br/>
            </w:r>
            <w:r>
              <w:br/>
            </w:r>
            <w:r>
              <w:br/>
              <w:t>62.55</w:t>
            </w:r>
          </w:p>
        </w:tc>
      </w:tr>
      <w:tr>
        <w:trPr>
          <w:cantSplit/>
        </w:trPr>
        <w:tc>
          <w:tcPr>
            <w:tcW w:w="542" w:type="dxa"/>
          </w:tcPr>
          <w:p>
            <w:pPr>
              <w:pStyle w:val="yTable"/>
            </w:pPr>
            <w:r>
              <w:t>7.</w:t>
            </w:r>
          </w:p>
        </w:tc>
        <w:tc>
          <w:tcPr>
            <w:tcW w:w="4885" w:type="dxa"/>
          </w:tcPr>
          <w:p>
            <w:pPr>
              <w:pStyle w:val="yTable"/>
              <w:tabs>
                <w:tab w:val="right" w:leader="dot" w:pos="5273"/>
              </w:tabs>
            </w:pPr>
            <w:r>
              <w:t xml:space="preserve">Provision of information other than under items 7 or 8 that involves research or investigation of 15 minutes or more — per hour or part of an hour </w:t>
            </w:r>
            <w:r>
              <w:tab/>
            </w:r>
          </w:p>
        </w:tc>
        <w:tc>
          <w:tcPr>
            <w:tcW w:w="1235" w:type="dxa"/>
          </w:tcPr>
          <w:p>
            <w:pPr>
              <w:pStyle w:val="yTable"/>
              <w:tabs>
                <w:tab w:val="decimal" w:pos="532"/>
              </w:tabs>
            </w:pPr>
            <w:r>
              <w:br/>
            </w:r>
            <w:r>
              <w:br/>
              <w:t>69.00</w:t>
            </w:r>
          </w:p>
        </w:tc>
      </w:tr>
    </w:tbl>
    <w:p>
      <w:pPr>
        <w:pStyle w:val="yFootnotesection"/>
      </w:pPr>
      <w:bookmarkStart w:id="105" w:name="_Toc139695732"/>
      <w:bookmarkStart w:id="106" w:name="_Toc147141561"/>
      <w:bookmarkStart w:id="107" w:name="_Toc163456107"/>
      <w:bookmarkStart w:id="108" w:name="_Toc163457622"/>
      <w:r>
        <w:tab/>
        <w:t>[Division 4 inserted in Gazette 27 Jun 2008 p. 3080.]</w:t>
      </w:r>
    </w:p>
    <w:p>
      <w:pPr>
        <w:pStyle w:val="yHeading3"/>
      </w:pPr>
      <w:bookmarkStart w:id="109" w:name="_Toc207441730"/>
      <w:r>
        <w:rPr>
          <w:rStyle w:val="CharSDivNo"/>
        </w:rPr>
        <w:t>Division 5</w:t>
      </w:r>
      <w:r>
        <w:t xml:space="preserve"> — </w:t>
      </w:r>
      <w:r>
        <w:rPr>
          <w:rStyle w:val="CharSDivText"/>
        </w:rPr>
        <w:t>Fees for the provision of plan sheets for preparation of diagrams of property sewer installations</w:t>
      </w:r>
      <w:bookmarkEnd w:id="105"/>
      <w:bookmarkEnd w:id="106"/>
      <w:bookmarkEnd w:id="107"/>
      <w:bookmarkEnd w:id="108"/>
      <w:bookmarkEnd w:id="109"/>
    </w:p>
    <w:p>
      <w:pPr>
        <w:pStyle w:val="yShoulderClause"/>
      </w:pPr>
      <w:r>
        <w:t>[bl. 29A(3)]</w:t>
      </w:r>
    </w:p>
    <w:p>
      <w:pPr>
        <w:pStyle w:val="yFootnoteheading"/>
        <w:spacing w:after="60"/>
      </w:pPr>
      <w:r>
        <w:tab/>
        <w:t>[Heading inserted in Gazette 27 Jun 2008 p. 3080.]</w:t>
      </w:r>
    </w:p>
    <w:tbl>
      <w:tblPr>
        <w:tblW w:w="0" w:type="auto"/>
        <w:tblInd w:w="392" w:type="dxa"/>
        <w:tblLayout w:type="fixed"/>
        <w:tblLook w:val="0000" w:firstRow="0" w:lastRow="0" w:firstColumn="0" w:lastColumn="0" w:noHBand="0" w:noVBand="0"/>
      </w:tblPr>
      <w:tblGrid>
        <w:gridCol w:w="567"/>
        <w:gridCol w:w="4832"/>
        <w:gridCol w:w="1263"/>
      </w:tblGrid>
      <w:tr>
        <w:tc>
          <w:tcPr>
            <w:tcW w:w="5399" w:type="dxa"/>
            <w:gridSpan w:val="2"/>
          </w:tcPr>
          <w:p>
            <w:pPr>
              <w:pStyle w:val="yTable"/>
              <w:keepNext/>
              <w:keepLines/>
              <w:tabs>
                <w:tab w:val="right" w:leader="dot" w:pos="5273"/>
              </w:tabs>
              <w:spacing w:before="0"/>
            </w:pPr>
          </w:p>
        </w:tc>
        <w:tc>
          <w:tcPr>
            <w:tcW w:w="1263" w:type="dxa"/>
          </w:tcPr>
          <w:p>
            <w:pPr>
              <w:pStyle w:val="yTable"/>
              <w:keepNext/>
              <w:keepLines/>
              <w:spacing w:before="0"/>
              <w:jc w:val="center"/>
            </w:pPr>
            <w:r>
              <w:rPr>
                <w:b/>
              </w:rPr>
              <w:t>$</w:t>
            </w:r>
          </w:p>
        </w:tc>
      </w:tr>
      <w:tr>
        <w:trPr>
          <w:cantSplit/>
        </w:trPr>
        <w:tc>
          <w:tcPr>
            <w:tcW w:w="567" w:type="dxa"/>
          </w:tcPr>
          <w:p>
            <w:pPr>
              <w:pStyle w:val="yTable"/>
              <w:keepNext/>
              <w:keepLines/>
              <w:tabs>
                <w:tab w:val="right" w:leader="dot" w:pos="5273"/>
              </w:tabs>
              <w:spacing w:before="0"/>
            </w:pPr>
            <w:r>
              <w:t>8.</w:t>
            </w:r>
          </w:p>
        </w:tc>
        <w:tc>
          <w:tcPr>
            <w:tcW w:w="4832" w:type="dxa"/>
          </w:tcPr>
          <w:p>
            <w:pPr>
              <w:pStyle w:val="yTable"/>
              <w:keepNext/>
              <w:keepLines/>
              <w:tabs>
                <w:tab w:val="right" w:leader="dot" w:pos="5273"/>
              </w:tabs>
              <w:spacing w:before="0"/>
            </w:pPr>
            <w:r>
              <w:t xml:space="preserve">A4 size (per pad of 25 sheets) </w:t>
            </w:r>
            <w:r>
              <w:tab/>
            </w:r>
          </w:p>
        </w:tc>
        <w:tc>
          <w:tcPr>
            <w:tcW w:w="1263" w:type="dxa"/>
          </w:tcPr>
          <w:p>
            <w:pPr>
              <w:pStyle w:val="yTable"/>
              <w:tabs>
                <w:tab w:val="decimal" w:pos="588"/>
              </w:tabs>
              <w:rPr>
                <w:spacing w:val="-1"/>
              </w:rPr>
            </w:pPr>
            <w:r>
              <w:rPr>
                <w:spacing w:val="-1"/>
              </w:rPr>
              <w:t>4.95</w:t>
            </w:r>
          </w:p>
        </w:tc>
      </w:tr>
      <w:tr>
        <w:trPr>
          <w:cantSplit/>
        </w:trPr>
        <w:tc>
          <w:tcPr>
            <w:tcW w:w="567" w:type="dxa"/>
          </w:tcPr>
          <w:p>
            <w:pPr>
              <w:pStyle w:val="yTable"/>
              <w:tabs>
                <w:tab w:val="right" w:leader="dot" w:pos="5273"/>
              </w:tabs>
              <w:spacing w:before="0"/>
            </w:pPr>
            <w:r>
              <w:t>9.</w:t>
            </w:r>
          </w:p>
        </w:tc>
        <w:tc>
          <w:tcPr>
            <w:tcW w:w="4832" w:type="dxa"/>
          </w:tcPr>
          <w:p>
            <w:pPr>
              <w:pStyle w:val="yTable"/>
              <w:tabs>
                <w:tab w:val="right" w:leader="dot" w:pos="5273"/>
              </w:tabs>
              <w:spacing w:before="0"/>
            </w:pPr>
            <w:r>
              <w:t>A3 size (per pad of 25 sheets) .</w:t>
            </w:r>
            <w:r>
              <w:tab/>
            </w:r>
          </w:p>
        </w:tc>
        <w:tc>
          <w:tcPr>
            <w:tcW w:w="1263" w:type="dxa"/>
          </w:tcPr>
          <w:p>
            <w:pPr>
              <w:pStyle w:val="yTable"/>
              <w:tabs>
                <w:tab w:val="decimal" w:pos="588"/>
              </w:tabs>
              <w:rPr>
                <w:spacing w:val="-1"/>
              </w:rPr>
            </w:pPr>
            <w:r>
              <w:rPr>
                <w:spacing w:val="-1"/>
              </w:rPr>
              <w:t>8.80</w:t>
            </w:r>
          </w:p>
        </w:tc>
      </w:tr>
      <w:tr>
        <w:trPr>
          <w:cantSplit/>
        </w:trPr>
        <w:tc>
          <w:tcPr>
            <w:tcW w:w="567" w:type="dxa"/>
          </w:tcPr>
          <w:p>
            <w:pPr>
              <w:pStyle w:val="yTable"/>
              <w:tabs>
                <w:tab w:val="right" w:leader="dot" w:pos="5273"/>
              </w:tabs>
              <w:spacing w:before="0"/>
            </w:pPr>
            <w:r>
              <w:t>10.</w:t>
            </w:r>
          </w:p>
        </w:tc>
        <w:tc>
          <w:tcPr>
            <w:tcW w:w="4832" w:type="dxa"/>
          </w:tcPr>
          <w:p>
            <w:pPr>
              <w:pStyle w:val="yTable"/>
              <w:tabs>
                <w:tab w:val="right" w:leader="dot" w:pos="5273"/>
              </w:tabs>
              <w:spacing w:before="0"/>
            </w:pPr>
            <w:r>
              <w:t>A1 size (per sheet) .</w:t>
            </w:r>
            <w:r>
              <w:tab/>
            </w:r>
          </w:p>
        </w:tc>
        <w:tc>
          <w:tcPr>
            <w:tcW w:w="1263" w:type="dxa"/>
          </w:tcPr>
          <w:p>
            <w:pPr>
              <w:pStyle w:val="yTable"/>
              <w:tabs>
                <w:tab w:val="decimal" w:pos="588"/>
              </w:tabs>
              <w:rPr>
                <w:spacing w:val="-1"/>
              </w:rPr>
            </w:pPr>
            <w:r>
              <w:rPr>
                <w:spacing w:val="-1"/>
              </w:rPr>
              <w:t>1.65</w:t>
            </w:r>
          </w:p>
        </w:tc>
      </w:tr>
    </w:tbl>
    <w:p>
      <w:pPr>
        <w:pStyle w:val="yFootnotesection"/>
      </w:pPr>
      <w:bookmarkStart w:id="110" w:name="_Toc139695733"/>
      <w:bookmarkStart w:id="111" w:name="_Toc147141562"/>
      <w:bookmarkStart w:id="112" w:name="_Toc163456108"/>
      <w:bookmarkStart w:id="113" w:name="_Toc163457623"/>
      <w:r>
        <w:tab/>
        <w:t>[Division 5 inserted in Gazette 27 Jun 2008 p. 3080.]</w:t>
      </w:r>
    </w:p>
    <w:p>
      <w:pPr>
        <w:pStyle w:val="yHeading3"/>
      </w:pPr>
      <w:bookmarkStart w:id="114" w:name="_Toc207441731"/>
      <w:r>
        <w:rPr>
          <w:rStyle w:val="CharSDivNo"/>
        </w:rPr>
        <w:t>Division 6</w:t>
      </w:r>
      <w:r>
        <w:t xml:space="preserve"> — </w:t>
      </w:r>
      <w:r>
        <w:rPr>
          <w:rStyle w:val="CharSDivText"/>
        </w:rPr>
        <w:t>Minimum fees for installation of sewer junction</w:t>
      </w:r>
      <w:bookmarkEnd w:id="110"/>
      <w:bookmarkEnd w:id="111"/>
      <w:bookmarkEnd w:id="112"/>
      <w:bookmarkEnd w:id="113"/>
      <w:bookmarkEnd w:id="114"/>
    </w:p>
    <w:p>
      <w:pPr>
        <w:pStyle w:val="yShoulderClause"/>
      </w:pPr>
      <w:r>
        <w:t>[bl. 230]</w:t>
      </w:r>
    </w:p>
    <w:p>
      <w:pPr>
        <w:pStyle w:val="yFootnoteheading"/>
        <w:spacing w:after="60"/>
      </w:pPr>
      <w:r>
        <w:tab/>
        <w:t>[Heading inserted in Gazette 27 Jun 2008 p. 3081.]</w:t>
      </w:r>
    </w:p>
    <w:tbl>
      <w:tblPr>
        <w:tblW w:w="0" w:type="auto"/>
        <w:tblInd w:w="392" w:type="dxa"/>
        <w:tblLayout w:type="fixed"/>
        <w:tblLook w:val="0000" w:firstRow="0" w:lastRow="0" w:firstColumn="0" w:lastColumn="0" w:noHBand="0" w:noVBand="0"/>
      </w:tblPr>
      <w:tblGrid>
        <w:gridCol w:w="567"/>
        <w:gridCol w:w="4818"/>
        <w:gridCol w:w="1277"/>
      </w:tblGrid>
      <w:tr>
        <w:trPr>
          <w:cantSplit/>
        </w:trPr>
        <w:tc>
          <w:tcPr>
            <w:tcW w:w="567" w:type="dxa"/>
          </w:tcPr>
          <w:p>
            <w:pPr>
              <w:pStyle w:val="yTable"/>
              <w:jc w:val="center"/>
            </w:pPr>
          </w:p>
        </w:tc>
        <w:tc>
          <w:tcPr>
            <w:tcW w:w="4818" w:type="dxa"/>
          </w:tcPr>
          <w:p>
            <w:pPr>
              <w:pStyle w:val="yTable"/>
              <w:keepNext/>
              <w:tabs>
                <w:tab w:val="right" w:leader="dot" w:pos="5273"/>
              </w:tabs>
            </w:pPr>
          </w:p>
        </w:tc>
        <w:tc>
          <w:tcPr>
            <w:tcW w:w="1277" w:type="dxa"/>
          </w:tcPr>
          <w:p>
            <w:pPr>
              <w:pStyle w:val="yTable"/>
              <w:keepNext/>
              <w:jc w:val="center"/>
              <w:rPr>
                <w:b/>
              </w:rPr>
            </w:pPr>
            <w:r>
              <w:rPr>
                <w:b/>
              </w:rPr>
              <w:t>$</w:t>
            </w:r>
          </w:p>
        </w:tc>
      </w:tr>
      <w:tr>
        <w:trPr>
          <w:cantSplit/>
        </w:trPr>
        <w:tc>
          <w:tcPr>
            <w:tcW w:w="567" w:type="dxa"/>
          </w:tcPr>
          <w:p>
            <w:pPr>
              <w:pStyle w:val="yTable"/>
            </w:pPr>
            <w:r>
              <w:t>11.</w:t>
            </w:r>
          </w:p>
        </w:tc>
        <w:tc>
          <w:tcPr>
            <w:tcW w:w="4818" w:type="dxa"/>
          </w:tcPr>
          <w:p>
            <w:pPr>
              <w:pStyle w:val="yTable"/>
              <w:tabs>
                <w:tab w:val="right" w:leader="dot" w:pos="5273"/>
              </w:tabs>
            </w:pPr>
            <w:r>
              <w:t xml:space="preserve">100 mm sewer junction </w:t>
            </w:r>
            <w:r>
              <w:tab/>
            </w:r>
          </w:p>
        </w:tc>
        <w:tc>
          <w:tcPr>
            <w:tcW w:w="1277" w:type="dxa"/>
          </w:tcPr>
          <w:p>
            <w:pPr>
              <w:pStyle w:val="yTable"/>
              <w:tabs>
                <w:tab w:val="decimal" w:pos="602"/>
              </w:tabs>
              <w:ind w:right="29"/>
              <w:rPr>
                <w:spacing w:val="-1"/>
              </w:rPr>
            </w:pPr>
            <w:r>
              <w:rPr>
                <w:spacing w:val="-1"/>
              </w:rPr>
              <w:t>360.00</w:t>
            </w:r>
          </w:p>
        </w:tc>
      </w:tr>
      <w:tr>
        <w:trPr>
          <w:cantSplit/>
        </w:trPr>
        <w:tc>
          <w:tcPr>
            <w:tcW w:w="567" w:type="dxa"/>
          </w:tcPr>
          <w:p>
            <w:pPr>
              <w:pStyle w:val="yTable"/>
            </w:pPr>
            <w:r>
              <w:t>12.</w:t>
            </w:r>
          </w:p>
        </w:tc>
        <w:tc>
          <w:tcPr>
            <w:tcW w:w="4818" w:type="dxa"/>
          </w:tcPr>
          <w:p>
            <w:pPr>
              <w:pStyle w:val="yTable"/>
              <w:tabs>
                <w:tab w:val="right" w:leader="dot" w:pos="5273"/>
              </w:tabs>
            </w:pPr>
            <w:r>
              <w:t xml:space="preserve">150 mm sewer junction </w:t>
            </w:r>
            <w:r>
              <w:tab/>
            </w:r>
          </w:p>
        </w:tc>
        <w:tc>
          <w:tcPr>
            <w:tcW w:w="1277" w:type="dxa"/>
          </w:tcPr>
          <w:p>
            <w:pPr>
              <w:pStyle w:val="yTable"/>
              <w:tabs>
                <w:tab w:val="decimal" w:pos="602"/>
              </w:tabs>
              <w:ind w:right="29"/>
              <w:rPr>
                <w:spacing w:val="-1"/>
              </w:rPr>
            </w:pPr>
            <w:r>
              <w:rPr>
                <w:spacing w:val="-1"/>
              </w:rPr>
              <w:t>445.00</w:t>
            </w:r>
          </w:p>
        </w:tc>
      </w:tr>
    </w:tbl>
    <w:p>
      <w:pPr>
        <w:pStyle w:val="yFootnotesection"/>
      </w:pPr>
      <w:r>
        <w:tab/>
        <w:t>[Division 6 inserted in Gazette 27 Jun 2008 p. 3081.]</w:t>
      </w:r>
    </w:p>
    <w:p>
      <w:pPr>
        <w:pStyle w:val="yScheduleHeading"/>
      </w:pPr>
      <w:bookmarkStart w:id="115" w:name="_Toc207441732"/>
      <w:r>
        <w:rPr>
          <w:rStyle w:val="CharSchNo"/>
        </w:rPr>
        <w:t>Schedule 3</w:t>
      </w:r>
      <w:r>
        <w:t xml:space="preserve"> — </w:t>
      </w:r>
      <w:r>
        <w:rPr>
          <w:rStyle w:val="CharSchText"/>
        </w:rPr>
        <w:t>Materials, fittings and fixtures</w:t>
      </w:r>
      <w:bookmarkEnd w:id="82"/>
      <w:bookmarkEnd w:id="83"/>
      <w:bookmarkEnd w:id="84"/>
      <w:bookmarkEnd w:id="115"/>
    </w:p>
    <w:p>
      <w:pPr>
        <w:pStyle w:val="yShoulderClause"/>
      </w:pPr>
      <w:r>
        <w:t>[By</w:t>
      </w:r>
      <w:r>
        <w:noBreakHyphen/>
        <w:t>law 49(1) and (2)]</w:t>
      </w:r>
    </w:p>
    <w:p>
      <w:pPr>
        <w:pStyle w:val="yHeading3"/>
      </w:pPr>
      <w:bookmarkStart w:id="116" w:name="_Toc190838102"/>
      <w:bookmarkStart w:id="117" w:name="_Toc191091701"/>
      <w:bookmarkStart w:id="118" w:name="_Toc192993373"/>
      <w:bookmarkStart w:id="119" w:name="_Toc207441733"/>
      <w:r>
        <w:rPr>
          <w:rStyle w:val="CharSDivNo"/>
        </w:rPr>
        <w:t>Division 1</w:t>
      </w:r>
      <w:r>
        <w:t> — </w:t>
      </w:r>
      <w:r>
        <w:rPr>
          <w:rStyle w:val="CharSDivText"/>
        </w:rPr>
        <w:t>Fixtures</w:t>
      </w:r>
      <w:bookmarkEnd w:id="116"/>
      <w:bookmarkEnd w:id="117"/>
      <w:bookmarkEnd w:id="118"/>
      <w:bookmarkEnd w:id="119"/>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120" w:name="_Toc190838103"/>
      <w:bookmarkStart w:id="121" w:name="_Toc191091702"/>
      <w:bookmarkStart w:id="122" w:name="_Toc192993374"/>
      <w:bookmarkStart w:id="123" w:name="_Toc207441734"/>
      <w:r>
        <w:rPr>
          <w:rStyle w:val="CharSDivNo"/>
        </w:rPr>
        <w:t>Division 2</w:t>
      </w:r>
      <w:r>
        <w:t> — </w:t>
      </w:r>
      <w:r>
        <w:rPr>
          <w:rStyle w:val="CharSDivText"/>
        </w:rPr>
        <w:t>Prohibited materials, fittings and fixtures</w:t>
      </w:r>
      <w:bookmarkEnd w:id="120"/>
      <w:bookmarkEnd w:id="121"/>
      <w:bookmarkEnd w:id="122"/>
      <w:bookmarkEnd w:id="123"/>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pStyle w:val="CentredBaseLine"/>
        <w:jc w:val="cente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pStyle w:val="yFootnotesection"/>
      </w:pPr>
    </w:p>
    <w:p>
      <w:pPr>
        <w:ind w:right="9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4" w:name="_Toc190838104"/>
      <w:bookmarkStart w:id="125" w:name="_Toc191091703"/>
      <w:bookmarkStart w:id="126" w:name="_Toc192993375"/>
      <w:bookmarkStart w:id="127" w:name="_Toc207441735"/>
      <w:r>
        <w:t>Notes</w:t>
      </w:r>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128" w:name="_Toc207441736"/>
      <w:r>
        <w:t>Compilation table</w:t>
      </w:r>
      <w:bookmarkEnd w:id="128"/>
    </w:p>
    <w:tbl>
      <w:tblPr>
        <w:tblW w:w="0" w:type="auto"/>
        <w:tblLayout w:type="fixed"/>
        <w:tblCellMar>
          <w:left w:w="56" w:type="dxa"/>
          <w:right w:w="56" w:type="dxa"/>
        </w:tblCellMar>
        <w:tblLook w:val="0000" w:firstRow="0" w:lastRow="0" w:firstColumn="0" w:lastColumn="0" w:noHBand="0" w:noVBand="0"/>
      </w:tblPr>
      <w:tblGrid>
        <w:gridCol w:w="14"/>
        <w:gridCol w:w="3104"/>
        <w:gridCol w:w="44"/>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4"/>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2"/>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10</w:t>
            </w:r>
          </w:p>
        </w:tc>
        <w:tc>
          <w:tcPr>
            <w:tcW w:w="1276" w:type="dxa"/>
            <w:gridSpan w:val="2"/>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10</w:t>
            </w:r>
          </w:p>
        </w:tc>
        <w:tc>
          <w:tcPr>
            <w:tcW w:w="1276" w:type="dxa"/>
            <w:gridSpan w:val="2"/>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10</w:t>
            </w:r>
          </w:p>
        </w:tc>
        <w:tc>
          <w:tcPr>
            <w:tcW w:w="1276" w:type="dxa"/>
            <w:gridSpan w:val="2"/>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6"/>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11</w:t>
            </w:r>
          </w:p>
        </w:tc>
        <w:tc>
          <w:tcPr>
            <w:tcW w:w="1276" w:type="dxa"/>
            <w:gridSpan w:val="2"/>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2"/>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12</w:t>
            </w:r>
          </w:p>
        </w:tc>
        <w:tc>
          <w:tcPr>
            <w:tcW w:w="1276" w:type="dxa"/>
            <w:gridSpan w:val="2"/>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2"/>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13</w:t>
            </w:r>
          </w:p>
        </w:tc>
        <w:tc>
          <w:tcPr>
            <w:tcW w:w="1276" w:type="dxa"/>
            <w:gridSpan w:val="2"/>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2"/>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6"/>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2"/>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14</w:t>
            </w:r>
          </w:p>
        </w:tc>
        <w:tc>
          <w:tcPr>
            <w:tcW w:w="1276" w:type="dxa"/>
            <w:gridSpan w:val="2"/>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15</w:t>
            </w:r>
          </w:p>
        </w:tc>
        <w:tc>
          <w:tcPr>
            <w:tcW w:w="1276" w:type="dxa"/>
            <w:gridSpan w:val="2"/>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16</w:t>
            </w:r>
          </w:p>
        </w:tc>
        <w:tc>
          <w:tcPr>
            <w:tcW w:w="1276" w:type="dxa"/>
            <w:gridSpan w:val="2"/>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6"/>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17</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4"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2"/>
            <w:tcBorders>
              <w:bottom w:val="single" w:sz="4" w:space="0" w:color="auto"/>
            </w:tcBorders>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Cs/>
                <w:snapToGrid w:val="0"/>
                <w:sz w:val="19"/>
              </w:rPr>
              <w:t>8</w:t>
            </w:r>
          </w:p>
        </w:tc>
        <w:tc>
          <w:tcPr>
            <w:tcW w:w="1277" w:type="dxa"/>
            <w:gridSpan w:val="2"/>
            <w:tcBorders>
              <w:bottom w:val="single" w:sz="4" w:space="0" w:color="auto"/>
            </w:tcBorders>
          </w:tcPr>
          <w:p>
            <w:pPr>
              <w:pStyle w:val="nTable"/>
              <w:spacing w:before="60" w:after="40"/>
              <w:ind w:right="113"/>
              <w:rPr>
                <w:bCs/>
                <w:sz w:val="19"/>
              </w:rPr>
            </w:pPr>
            <w:r>
              <w:rPr>
                <w:bCs/>
                <w:sz w:val="19"/>
              </w:rPr>
              <w:t>26 Aug 2008 p. 4030</w:t>
            </w:r>
            <w:r>
              <w:rPr>
                <w:bCs/>
                <w:sz w:val="19"/>
              </w:rPr>
              <w:noBreakHyphen/>
              <w:t>1</w:t>
            </w:r>
          </w:p>
        </w:tc>
        <w:tc>
          <w:tcPr>
            <w:tcW w:w="2644" w:type="dxa"/>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vertAlign w:val="superscript"/>
        </w:rPr>
        <w:t>4</w:t>
      </w:r>
      <w:r>
        <w:tab/>
      </w:r>
      <w:r>
        <w:rPr>
          <w:snapToGrid w:val="0"/>
        </w:rPr>
        <w:t>Footnote no longer applicable.</w:t>
      </w:r>
      <w:bookmarkStart w:id="129" w:name="UpToHere"/>
      <w:bookmarkEnd w:id="129"/>
    </w:p>
    <w:p>
      <w:pPr>
        <w:pStyle w:val="nSubsection"/>
        <w:rPr>
          <w:snapToGrid w:val="0"/>
        </w:rPr>
      </w:pPr>
      <w:r>
        <w:rPr>
          <w:snapToGrid w:val="0"/>
          <w:vertAlign w:val="superscript"/>
        </w:rPr>
        <w:t>5</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6</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7</w:t>
      </w:r>
      <w:r>
        <w:rPr>
          <w:vertAlign w:val="superscript"/>
        </w:rPr>
        <w:tab/>
      </w:r>
      <w:r>
        <w:t>By-law 6 of these by-laws is a savings provision that is of no further effect.</w:t>
      </w:r>
    </w:p>
    <w:p>
      <w:pPr>
        <w:pStyle w:val="nSubsection"/>
      </w:pPr>
      <w:r>
        <w:rPr>
          <w:vertAlign w:val="superscript"/>
        </w:rPr>
        <w:t>8</w:t>
      </w:r>
      <w:r>
        <w:tab/>
        <w:t>By-law 2 of these by-laws is an application provision that is of no further effect.</w:t>
      </w:r>
    </w:p>
    <w:p>
      <w:pPr>
        <w:pStyle w:val="nSubsection"/>
      </w:pPr>
      <w:r>
        <w:rPr>
          <w:vertAlign w:val="superscript"/>
        </w:rPr>
        <w:t>9</w:t>
      </w:r>
      <w:r>
        <w:tab/>
        <w:t>By-law 12 of these by-laws is a savings and transitional provision that is of no further effect.</w:t>
      </w:r>
    </w:p>
    <w:p>
      <w:pPr>
        <w:pStyle w:val="nSubsection"/>
        <w:rPr>
          <w:rFonts w:ascii="Times" w:hAnsi="Times"/>
        </w:rPr>
      </w:pPr>
      <w:r>
        <w:rPr>
          <w:vertAlign w:val="superscript"/>
        </w:rPr>
        <w:t>10</w:t>
      </w:r>
      <w:r>
        <w:tab/>
        <w:t>By-law 3 of these by-laws is an application provision that is of no further effect.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13</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14</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15</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MiscOpen"/>
        <w:rPr>
          <w:snapToGrid w:val="0"/>
        </w:rPr>
      </w:pPr>
      <w:r>
        <w:rPr>
          <w:snapToGrid w:val="0"/>
        </w:rPr>
        <w:t>“</w:t>
      </w:r>
    </w:p>
    <w:p>
      <w:pPr>
        <w:pStyle w:val="nzHeading5"/>
        <w:rPr>
          <w:rStyle w:val="CharSectno"/>
        </w:rPr>
      </w:pPr>
      <w:r>
        <w:rPr>
          <w:rStyle w:val="CharSectno"/>
        </w:rPr>
        <w:t>4.</w:t>
      </w:r>
      <w:r>
        <w:rPr>
          <w:rStyle w:val="CharSectno"/>
        </w:rPr>
        <w:tab/>
        <w:t>Transitional provision</w:t>
      </w:r>
    </w:p>
    <w:p>
      <w:pPr>
        <w:pStyle w:val="nzSubsection"/>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p>
    <w:p>
      <w:pPr>
        <w:pStyle w:val="MiscClose"/>
      </w:pPr>
      <w:r>
        <w:t>”.</w:t>
      </w:r>
    </w:p>
    <w:p>
      <w:pPr>
        <w:pStyle w:val="nSubsection"/>
        <w:rPr>
          <w:i/>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30" w:name="_Toc423332724"/>
      <w:bookmarkStart w:id="131" w:name="_Toc425219443"/>
      <w:bookmarkStart w:id="132" w:name="_Toc426249310"/>
      <w:bookmarkStart w:id="133" w:name="_Toc449924706"/>
      <w:bookmarkStart w:id="134" w:name="_Toc449947724"/>
      <w:bookmarkStart w:id="135" w:name="_Toc454185715"/>
      <w:bookmarkStart w:id="136" w:name="_Toc515958688"/>
      <w:r>
        <w:rPr>
          <w:rStyle w:val="CharSectno"/>
        </w:rPr>
        <w:t>3</w:t>
      </w:r>
      <w:r>
        <w:rPr>
          <w:snapToGrid w:val="0"/>
        </w:rPr>
        <w:t>.</w:t>
      </w:r>
      <w:r>
        <w:rPr>
          <w:snapToGrid w:val="0"/>
        </w:rPr>
        <w:tab/>
      </w:r>
      <w:bookmarkEnd w:id="130"/>
      <w:bookmarkEnd w:id="131"/>
      <w:bookmarkEnd w:id="132"/>
      <w:bookmarkEnd w:id="133"/>
      <w:bookmarkEnd w:id="134"/>
      <w:bookmarkEnd w:id="135"/>
      <w:bookmarkEnd w:id="136"/>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7" w:name="_Toc190838106"/>
      <w:bookmarkStart w:id="138" w:name="_Toc191091705"/>
      <w:bookmarkStart w:id="139" w:name="_Toc192993377"/>
      <w:bookmarkStart w:id="140" w:name="_Toc207441737"/>
      <w:r>
        <w:rPr>
          <w:sz w:val="28"/>
        </w:rPr>
        <w:t>Defined Terms</w:t>
      </w:r>
      <w:bookmarkEnd w:id="137"/>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 w:name="DefinedTerms"/>
      <w:bookmarkEnd w:id="141"/>
      <w:r>
        <w:t>bore</w:t>
      </w:r>
      <w:r>
        <w:tab/>
        <w:t>2</w:t>
      </w:r>
    </w:p>
    <w:p>
      <w:pPr>
        <w:pStyle w:val="DefinedTerms"/>
      </w:pPr>
      <w:r>
        <w:t>building</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the Act</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12170</Words>
  <Characters>59149</Characters>
  <Application>Microsoft Office Word</Application>
  <DocSecurity>0</DocSecurity>
  <Lines>1908</Lines>
  <Paragraphs>1018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70301</CharactersWithSpaces>
  <SharedDoc>false</SharedDoc>
  <HLinks>
    <vt:vector size="6" baseType="variant">
      <vt:variant>
        <vt:i4>131085</vt:i4>
      </vt:variant>
      <vt:variant>
        <vt:i4>61562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1952 - 05-c0-03</dc:title>
  <dc:subject/>
  <dc:creator/>
  <cp:keywords/>
  <dc:description/>
  <cp:lastModifiedBy>svcMRProcess</cp:lastModifiedBy>
  <cp:revision>4</cp:revision>
  <cp:lastPrinted>2008-03-07T06:22:00Z</cp:lastPrinted>
  <dcterms:created xsi:type="dcterms:W3CDTF">2020-02-22T16:21:00Z</dcterms:created>
  <dcterms:modified xsi:type="dcterms:W3CDTF">2020-02-22T16:22:00Z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20080827</vt:lpwstr>
  </property>
  <property fmtid="{D5CDD505-2E9C-101B-9397-08002B2CF9AE}" pid="4" name="DocumentType">
    <vt:lpwstr>Reg</vt:lpwstr>
  </property>
  <property fmtid="{D5CDD505-2E9C-101B-9397-08002B2CF9AE}" pid="5" name="OwlsUID">
    <vt:i4>4377</vt:i4>
  </property>
  <property fmtid="{D5CDD505-2E9C-101B-9397-08002B2CF9AE}" pid="6" name="ReprintNo">
    <vt:lpwstr>5</vt:lpwstr>
  </property>
  <property fmtid="{D5CDD505-2E9C-101B-9397-08002B2CF9AE}" pid="7" name="AsAtDate">
    <vt:lpwstr>27 Aug 2008</vt:lpwstr>
  </property>
  <property fmtid="{D5CDD505-2E9C-101B-9397-08002B2CF9AE}" pid="8" name="Suffix">
    <vt:lpwstr>05-c0-03</vt:lpwstr>
  </property>
</Properties>
</file>