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Government Employees’ Housing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Housing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_Toc139688978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_Toc139688979 \h </w:instrText>
      </w:r>
      <w:r>
        <w:fldChar w:fldCharType="separate"/>
      </w:r>
      <w:r>
        <w:t>1</w:t>
      </w:r>
      <w:r>
        <w:fldChar w:fldCharType="end"/>
      </w:r>
    </w:p>
    <w:p>
      <w:pPr>
        <w:pStyle w:val="TOC2"/>
        <w:tabs>
          <w:tab w:val="right" w:leader="dot" w:pos="7078"/>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_Toc139688981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_Toc139688982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Governor may by proclamation declare Departments</w:t>
      </w:r>
      <w:r>
        <w:tab/>
      </w:r>
      <w:r>
        <w:fldChar w:fldCharType="begin"/>
      </w:r>
      <w:r>
        <w:instrText xml:space="preserve"> PAGEREF _Toc139688983 \h </w:instrText>
      </w:r>
      <w:r>
        <w:fldChar w:fldCharType="separate"/>
      </w:r>
      <w:r>
        <w:t>3</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16</w:t>
      </w:r>
      <w:r>
        <w:rPr>
          <w:snapToGrid w:val="0"/>
          <w:szCs w:val="24"/>
        </w:rPr>
        <w:t>.</w:t>
      </w:r>
      <w:r>
        <w:rPr>
          <w:snapToGrid w:val="0"/>
          <w:szCs w:val="24"/>
        </w:rPr>
        <w:tab/>
        <w:t>Function of Authority</w:t>
      </w:r>
      <w:r>
        <w:tab/>
      </w:r>
      <w:r>
        <w:fldChar w:fldCharType="begin"/>
      </w:r>
      <w:r>
        <w:instrText xml:space="preserve"> PAGEREF _Toc139688985 \h </w:instrText>
      </w:r>
      <w:r>
        <w:fldChar w:fldCharType="separate"/>
      </w:r>
      <w:r>
        <w:t>4</w:t>
      </w:r>
      <w:r>
        <w:fldChar w:fldCharType="end"/>
      </w:r>
    </w:p>
    <w:p>
      <w:pPr>
        <w:pStyle w:val="TOC8"/>
        <w:rPr>
          <w:sz w:val="24"/>
          <w:szCs w:val="24"/>
        </w:rPr>
      </w:pPr>
      <w:r>
        <w:rPr>
          <w:szCs w:val="24"/>
        </w:rPr>
        <w:t>17</w:t>
      </w:r>
      <w:r>
        <w:rPr>
          <w:snapToGrid w:val="0"/>
          <w:szCs w:val="24"/>
        </w:rPr>
        <w:t>.</w:t>
      </w:r>
      <w:r>
        <w:rPr>
          <w:snapToGrid w:val="0"/>
          <w:szCs w:val="24"/>
        </w:rPr>
        <w:tab/>
        <w:t>Transfer to Authority of land and houses</w:t>
      </w:r>
      <w:r>
        <w:tab/>
      </w:r>
      <w:r>
        <w:fldChar w:fldCharType="begin"/>
      </w:r>
      <w:r>
        <w:instrText xml:space="preserve"> PAGEREF _Toc139688986 \h </w:instrText>
      </w:r>
      <w:r>
        <w:fldChar w:fldCharType="separate"/>
      </w:r>
      <w:r>
        <w:t>4</w:t>
      </w:r>
      <w:r>
        <w:fldChar w:fldCharType="end"/>
      </w:r>
    </w:p>
    <w:p>
      <w:pPr>
        <w:pStyle w:val="TOC8"/>
        <w:rPr>
          <w:sz w:val="24"/>
          <w:szCs w:val="24"/>
        </w:rPr>
      </w:pPr>
      <w:r>
        <w:rPr>
          <w:szCs w:val="24"/>
        </w:rPr>
        <w:t>18</w:t>
      </w:r>
      <w:r>
        <w:rPr>
          <w:snapToGrid w:val="0"/>
          <w:szCs w:val="24"/>
        </w:rPr>
        <w:t>.</w:t>
      </w:r>
      <w:r>
        <w:rPr>
          <w:snapToGrid w:val="0"/>
          <w:szCs w:val="24"/>
        </w:rPr>
        <w:tab/>
        <w:t>Application may be made for houses for Department</w:t>
      </w:r>
      <w:r>
        <w:tab/>
      </w:r>
      <w:r>
        <w:fldChar w:fldCharType="begin"/>
      </w:r>
      <w:r>
        <w:instrText xml:space="preserve"> PAGEREF _Toc139688987 \h </w:instrText>
      </w:r>
      <w:r>
        <w:fldChar w:fldCharType="separate"/>
      </w:r>
      <w:r>
        <w:t>5</w:t>
      </w:r>
      <w:r>
        <w:fldChar w:fldCharType="end"/>
      </w:r>
    </w:p>
    <w:p>
      <w:pPr>
        <w:pStyle w:val="TOC8"/>
        <w:rPr>
          <w:sz w:val="24"/>
          <w:szCs w:val="24"/>
        </w:rPr>
      </w:pPr>
      <w:r>
        <w:rPr>
          <w:szCs w:val="24"/>
        </w:rPr>
        <w:t>19</w:t>
      </w:r>
      <w:r>
        <w:rPr>
          <w:snapToGrid w:val="0"/>
          <w:szCs w:val="24"/>
        </w:rPr>
        <w:t>.</w:t>
      </w:r>
      <w:r>
        <w:rPr>
          <w:snapToGrid w:val="0"/>
          <w:szCs w:val="24"/>
        </w:rPr>
        <w:tab/>
        <w:t>Powers of Authority</w:t>
      </w:r>
      <w:r>
        <w:tab/>
      </w:r>
      <w:r>
        <w:fldChar w:fldCharType="begin"/>
      </w:r>
      <w:r>
        <w:instrText xml:space="preserve"> PAGEREF _Toc139688988 \h </w:instrText>
      </w:r>
      <w:r>
        <w:fldChar w:fldCharType="separate"/>
      </w:r>
      <w:r>
        <w:t>5</w:t>
      </w:r>
      <w:r>
        <w:fldChar w:fldCharType="end"/>
      </w:r>
    </w:p>
    <w:p>
      <w:pPr>
        <w:pStyle w:val="TOC8"/>
        <w:rPr>
          <w:sz w:val="24"/>
          <w:szCs w:val="24"/>
        </w:rPr>
      </w:pPr>
      <w:r>
        <w:rPr>
          <w:szCs w:val="24"/>
        </w:rPr>
        <w:t>20</w:t>
      </w:r>
      <w:r>
        <w:rPr>
          <w:snapToGrid w:val="0"/>
          <w:szCs w:val="24"/>
        </w:rPr>
        <w:t>.</w:t>
      </w:r>
      <w:r>
        <w:rPr>
          <w:snapToGrid w:val="0"/>
          <w:szCs w:val="24"/>
        </w:rPr>
        <w:tab/>
        <w:t>Power to accept gifts</w:t>
      </w:r>
      <w:r>
        <w:tab/>
      </w:r>
      <w:r>
        <w:fldChar w:fldCharType="begin"/>
      </w:r>
      <w:r>
        <w:instrText xml:space="preserve"> PAGEREF _Toc139688989 \h </w:instrText>
      </w:r>
      <w:r>
        <w:fldChar w:fldCharType="separate"/>
      </w:r>
      <w:r>
        <w:t>7</w:t>
      </w:r>
      <w:r>
        <w:fldChar w:fldCharType="end"/>
      </w:r>
    </w:p>
    <w:p>
      <w:pPr>
        <w:pStyle w:val="TOC2"/>
        <w:tabs>
          <w:tab w:val="right" w:leader="dot" w:pos="7078"/>
        </w:tabs>
        <w:rPr>
          <w:b w:val="0"/>
          <w:sz w:val="24"/>
          <w:szCs w:val="24"/>
        </w:rPr>
      </w:pPr>
      <w:r>
        <w:rPr>
          <w:szCs w:val="30"/>
        </w:rPr>
        <w:t>Part IV — Finance</w:t>
      </w:r>
    </w:p>
    <w:p>
      <w:pPr>
        <w:pStyle w:val="TOC8"/>
        <w:rPr>
          <w:sz w:val="24"/>
          <w:szCs w:val="24"/>
        </w:rPr>
      </w:pPr>
      <w:r>
        <w:rPr>
          <w:szCs w:val="24"/>
        </w:rPr>
        <w:t>22</w:t>
      </w:r>
      <w:r>
        <w:rPr>
          <w:snapToGrid w:val="0"/>
          <w:szCs w:val="24"/>
        </w:rPr>
        <w:t>.</w:t>
      </w:r>
      <w:r>
        <w:rPr>
          <w:snapToGrid w:val="0"/>
          <w:szCs w:val="24"/>
        </w:rPr>
        <w:tab/>
        <w:t>Power to borrow money</w:t>
      </w:r>
      <w:r>
        <w:tab/>
      </w:r>
      <w:r>
        <w:fldChar w:fldCharType="begin"/>
      </w:r>
      <w:r>
        <w:instrText xml:space="preserve"> PAGEREF _Toc139688991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Funds of Authority</w:t>
      </w:r>
      <w:r>
        <w:tab/>
      </w:r>
      <w:r>
        <w:fldChar w:fldCharType="begin"/>
      </w:r>
      <w:r>
        <w:instrText xml:space="preserve"> PAGEREF _Toc139688992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Establishment of Government Employees’ Housing Fund</w:t>
      </w:r>
      <w:r>
        <w:tab/>
      </w:r>
      <w:r>
        <w:fldChar w:fldCharType="begin"/>
      </w:r>
      <w:r>
        <w:instrText xml:space="preserve"> PAGEREF _Toc139688993 \h </w:instrText>
      </w:r>
      <w:r>
        <w:fldChar w:fldCharType="separate"/>
      </w:r>
      <w:r>
        <w:t>10</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27</w:t>
      </w:r>
      <w:r>
        <w:rPr>
          <w:snapToGrid w:val="0"/>
          <w:szCs w:val="24"/>
        </w:rPr>
        <w:t>.</w:t>
      </w:r>
      <w:r>
        <w:rPr>
          <w:snapToGrid w:val="0"/>
          <w:szCs w:val="24"/>
        </w:rPr>
        <w:tab/>
        <w:t>Exemption from personal liability</w:t>
      </w:r>
      <w:r>
        <w:tab/>
      </w:r>
      <w:r>
        <w:fldChar w:fldCharType="begin"/>
      </w:r>
      <w:r>
        <w:instrText xml:space="preserve"> PAGEREF _Toc139688995 \h </w:instrText>
      </w:r>
      <w:r>
        <w:fldChar w:fldCharType="separate"/>
      </w:r>
      <w:r>
        <w:t>11</w:t>
      </w:r>
      <w:r>
        <w:fldChar w:fldCharType="end"/>
      </w:r>
    </w:p>
    <w:p>
      <w:pPr>
        <w:pStyle w:val="TOC8"/>
        <w:rPr>
          <w:sz w:val="24"/>
          <w:szCs w:val="24"/>
        </w:rPr>
      </w:pPr>
      <w:r>
        <w:rPr>
          <w:szCs w:val="24"/>
        </w:rPr>
        <w:t>28</w:t>
      </w:r>
      <w:r>
        <w:rPr>
          <w:snapToGrid w:val="0"/>
          <w:szCs w:val="24"/>
        </w:rPr>
        <w:t>.</w:t>
      </w:r>
      <w:r>
        <w:rPr>
          <w:snapToGrid w:val="0"/>
          <w:szCs w:val="24"/>
        </w:rPr>
        <w:tab/>
        <w:t>Determination of tenancy</w:t>
      </w:r>
      <w:r>
        <w:tab/>
      </w:r>
      <w:r>
        <w:fldChar w:fldCharType="begin"/>
      </w:r>
      <w:r>
        <w:instrText xml:space="preserve"> PAGEREF _Toc139688996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_Toc139688997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_Toc139688998 \h </w:instrText>
      </w:r>
      <w:r>
        <w:fldChar w:fldCharType="separate"/>
      </w:r>
      <w:r>
        <w:t>13</w:t>
      </w:r>
      <w:r>
        <w:fldChar w:fldCharType="end"/>
      </w:r>
    </w:p>
    <w:p>
      <w:pPr>
        <w:pStyle w:val="TOC2"/>
        <w:tabs>
          <w:tab w:val="right" w:leader="dot" w:pos="7078"/>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_Toc139689000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Government Employees’ Housing Act 1964 </w:t>
      </w:r>
    </w:p>
    <w:p>
      <w:pPr>
        <w:pStyle w:val="LongTitle"/>
        <w:rPr>
          <w:snapToGrid w:val="0"/>
        </w:rPr>
      </w:pPr>
      <w:r>
        <w:rPr>
          <w:snapToGrid w:val="0"/>
        </w:rPr>
        <w:t xml:space="preserve">An Act to make provision for adequate and suitable housing accommodation for persons employed by or under the Government of the State and for incidental and other purposes. </w:t>
      </w:r>
    </w:p>
    <w:p>
      <w:pPr>
        <w:pStyle w:val="Footnotelongtitle"/>
      </w:pPr>
      <w:r>
        <w:tab/>
        <w:t>[Long title amended by No. 28 of 2006 s. 296.]</w:t>
      </w:r>
    </w:p>
    <w:p>
      <w:pPr>
        <w:pStyle w:val="Heading5"/>
        <w:rPr>
          <w:snapToGrid w:val="0"/>
        </w:rPr>
      </w:pPr>
      <w:bookmarkStart w:id="1" w:name="_Toc421611491"/>
      <w:bookmarkStart w:id="2" w:name="_Toc503062590"/>
      <w:bookmarkStart w:id="3" w:name="_Toc122752032"/>
      <w:bookmarkStart w:id="4" w:name="_Toc13968897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5" w:name="_Toc421611492"/>
      <w:bookmarkStart w:id="6" w:name="_Toc503062591"/>
      <w:bookmarkStart w:id="7" w:name="_Toc122752033"/>
      <w:bookmarkStart w:id="8" w:name="_Toc13968897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s.76.]</w:t>
      </w:r>
    </w:p>
    <w:p>
      <w:pPr>
        <w:pStyle w:val="Heading2"/>
      </w:pPr>
      <w:bookmarkStart w:id="9" w:name="_Toc122752034"/>
      <w:bookmarkStart w:id="10" w:name="_Toc122752070"/>
      <w:bookmarkStart w:id="11" w:name="_Toc123002568"/>
      <w:bookmarkStart w:id="12" w:name="_Toc131395182"/>
      <w:bookmarkStart w:id="13" w:name="_Toc139688980"/>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r>
        <w:rPr>
          <w:rStyle w:val="CharPartText"/>
        </w:rPr>
        <w:t xml:space="preserve"> </w:t>
      </w:r>
    </w:p>
    <w:p>
      <w:pPr>
        <w:pStyle w:val="Heading5"/>
        <w:rPr>
          <w:snapToGrid w:val="0"/>
        </w:rPr>
      </w:pPr>
      <w:bookmarkStart w:id="14" w:name="_Toc421611493"/>
      <w:bookmarkStart w:id="15" w:name="_Toc503062592"/>
      <w:bookmarkStart w:id="16" w:name="_Toc122752035"/>
      <w:bookmarkStart w:id="17" w:name="_Toc139688981"/>
      <w:r>
        <w:rPr>
          <w:rStyle w:val="CharSectno"/>
        </w:rPr>
        <w:t>4</w:t>
      </w:r>
      <w:r>
        <w:rPr>
          <w:snapToGrid w:val="0"/>
        </w:rPr>
        <w:t>.</w:t>
      </w:r>
      <w:r>
        <w:rPr>
          <w:snapToGrid w:val="0"/>
        </w:rPr>
        <w:tab/>
        <w:t>Objects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Ednotepara"/>
      </w:pPr>
      <w:bookmarkStart w:id="18" w:name="_Toc421611494"/>
      <w:bookmarkStart w:id="19" w:name="_Toc503062593"/>
      <w:bookmarkStart w:id="20" w:name="_Toc122752036"/>
      <w:r>
        <w:tab/>
        <w:t>[(c)</w:t>
      </w:r>
      <w:r>
        <w:tab/>
        <w:t>deleted]</w:t>
      </w:r>
    </w:p>
    <w:p>
      <w:pPr>
        <w:pStyle w:val="Footnotesection"/>
      </w:pPr>
      <w:r>
        <w:tab/>
        <w:t>[Section 4 amended by No. 28 of 2006 s. 297.]</w:t>
      </w:r>
    </w:p>
    <w:p>
      <w:pPr>
        <w:pStyle w:val="Heading5"/>
        <w:rPr>
          <w:snapToGrid w:val="0"/>
        </w:rPr>
      </w:pPr>
      <w:bookmarkStart w:id="21" w:name="_Toc139688982"/>
      <w:r>
        <w:rPr>
          <w:rStyle w:val="CharSectno"/>
        </w:rPr>
        <w:t>5</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means the Housing Authority referred to in section 6(4) of the </w:t>
      </w:r>
      <w:r>
        <w:rPr>
          <w:i/>
        </w:rPr>
        <w:t>Housing Act 1980</w:t>
      </w:r>
      <w:r>
        <w:t>;</w:t>
      </w:r>
    </w:p>
    <w:p>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t>“</w:t>
      </w:r>
      <w:r>
        <w:rPr>
          <w:rStyle w:val="CharDefText"/>
        </w:rPr>
        <w:t>Fund</w:t>
      </w:r>
      <w:r>
        <w:rPr>
          <w:b/>
        </w:rPr>
        <w:t>”</w:t>
      </w:r>
      <w:r>
        <w:t xml:space="preserve"> means the Government Employees’ Housing Fund established under this Act;</w:t>
      </w:r>
    </w:p>
    <w:p>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t>“</w:t>
      </w:r>
      <w:r>
        <w:rPr>
          <w:rStyle w:val="CharDefText"/>
        </w:rPr>
        <w:t>member</w:t>
      </w:r>
      <w:r>
        <w:rPr>
          <w:b/>
        </w:rPr>
        <w:t>”</w:t>
      </w:r>
      <w:r>
        <w:t xml:space="preserve"> means a person occupying any of the offices of the Authority, including that of chairman;</w:t>
      </w:r>
    </w:p>
    <w:p>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t>“</w:t>
      </w:r>
      <w:r>
        <w:rPr>
          <w:rStyle w:val="CharDefText"/>
        </w:rPr>
        <w:t>tenant</w:t>
      </w:r>
      <w:r>
        <w:rPr>
          <w:b/>
        </w:rPr>
        <w:t>”</w:t>
      </w:r>
      <w:r>
        <w:t xml:space="preserve"> includes any person deriving title under the original tenant.</w:t>
      </w:r>
    </w:p>
    <w:p>
      <w:pPr>
        <w:pStyle w:val="Footnotesection"/>
      </w:pPr>
      <w:r>
        <w:tab/>
        <w:t>[Section 5 amended by No. 36 of 1999 s.247; No. 28 of 2006 s. 298.]</w:t>
      </w:r>
    </w:p>
    <w:p>
      <w:pPr>
        <w:pStyle w:val="Ednotesection"/>
      </w:pPr>
      <w:bookmarkStart w:id="22" w:name="_Toc421611496"/>
      <w:bookmarkStart w:id="23" w:name="_Toc503062595"/>
      <w:bookmarkStart w:id="24" w:name="_Toc122752038"/>
      <w:r>
        <w:t>[</w:t>
      </w:r>
      <w:r>
        <w:rPr>
          <w:b/>
        </w:rPr>
        <w:t>6.</w:t>
      </w:r>
      <w:r>
        <w:tab/>
        <w:t xml:space="preserve">Repealed by No. 28 of 2006 s. 299.] </w:t>
      </w:r>
    </w:p>
    <w:p>
      <w:pPr>
        <w:pStyle w:val="Heading5"/>
        <w:rPr>
          <w:snapToGrid w:val="0"/>
        </w:rPr>
      </w:pPr>
      <w:bookmarkStart w:id="25" w:name="_Toc139688983"/>
      <w:r>
        <w:rPr>
          <w:rStyle w:val="CharSectno"/>
        </w:rPr>
        <w:t>7</w:t>
      </w:r>
      <w:r>
        <w:rPr>
          <w:snapToGrid w:val="0"/>
        </w:rPr>
        <w:t>.</w:t>
      </w:r>
      <w:r>
        <w:rPr>
          <w:snapToGrid w:val="0"/>
        </w:rPr>
        <w:tab/>
        <w:t xml:space="preserve">Governor may by proclamation declare </w:t>
      </w:r>
      <w:bookmarkEnd w:id="22"/>
      <w:r>
        <w:rPr>
          <w:snapToGrid w:val="0"/>
        </w:rPr>
        <w:t>Departments</w:t>
      </w:r>
      <w:bookmarkEnd w:id="23"/>
      <w:bookmarkEnd w:id="24"/>
      <w:bookmarkEnd w:id="25"/>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section"/>
      </w:pPr>
      <w:bookmarkStart w:id="26" w:name="_Toc122752048"/>
      <w:bookmarkStart w:id="27" w:name="_Toc122752084"/>
      <w:bookmarkStart w:id="28" w:name="_Toc123002582"/>
      <w:bookmarkStart w:id="29" w:name="_Toc131395196"/>
      <w:r>
        <w:t>[</w:t>
      </w:r>
      <w:r>
        <w:rPr>
          <w:b/>
        </w:rPr>
        <w:t>Part II (s. 8-15).</w:t>
      </w:r>
      <w:r>
        <w:tab/>
        <w:t xml:space="preserve">Repealed by No. 28 of 2006 s. 300.] </w:t>
      </w:r>
    </w:p>
    <w:p>
      <w:pPr>
        <w:pStyle w:val="Heading2"/>
      </w:pPr>
      <w:bookmarkStart w:id="30" w:name="_Toc139688984"/>
      <w:r>
        <w:rPr>
          <w:rStyle w:val="CharPartNo"/>
        </w:rPr>
        <w:t>Part III</w:t>
      </w:r>
      <w:r>
        <w:rPr>
          <w:rStyle w:val="CharDivNo"/>
        </w:rPr>
        <w:t> </w:t>
      </w:r>
      <w:r>
        <w:t>—</w:t>
      </w:r>
      <w:r>
        <w:rPr>
          <w:rStyle w:val="CharDivText"/>
        </w:rPr>
        <w:t> </w:t>
      </w:r>
      <w:r>
        <w:rPr>
          <w:rStyle w:val="CharPartText"/>
        </w:rPr>
        <w:t>Administration</w:t>
      </w:r>
      <w:bookmarkEnd w:id="26"/>
      <w:bookmarkEnd w:id="27"/>
      <w:bookmarkEnd w:id="28"/>
      <w:bookmarkEnd w:id="29"/>
      <w:bookmarkEnd w:id="30"/>
      <w:r>
        <w:rPr>
          <w:rStyle w:val="CharPartText"/>
        </w:rPr>
        <w:t xml:space="preserve"> </w:t>
      </w:r>
    </w:p>
    <w:p>
      <w:pPr>
        <w:pStyle w:val="Heading5"/>
        <w:rPr>
          <w:snapToGrid w:val="0"/>
        </w:rPr>
      </w:pPr>
      <w:bookmarkStart w:id="31" w:name="_Toc421611505"/>
      <w:bookmarkStart w:id="32" w:name="_Toc503062604"/>
      <w:bookmarkStart w:id="33" w:name="_Toc122752049"/>
      <w:bookmarkStart w:id="34" w:name="_Toc139688985"/>
      <w:r>
        <w:rPr>
          <w:rStyle w:val="CharSectno"/>
        </w:rPr>
        <w:t>16</w:t>
      </w:r>
      <w:r>
        <w:rPr>
          <w:snapToGrid w:val="0"/>
        </w:rPr>
        <w:t>.</w:t>
      </w:r>
      <w:r>
        <w:rPr>
          <w:snapToGrid w:val="0"/>
        </w:rPr>
        <w:tab/>
        <w:t>Function of Authority</w:t>
      </w:r>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spacing w:before="60"/>
        <w:rPr>
          <w:snapToGrid w:val="0"/>
        </w:rPr>
      </w:pPr>
      <w:r>
        <w:rPr>
          <w:snapToGrid w:val="0"/>
        </w:rPr>
        <w:tab/>
        <w:t>(a)</w:t>
      </w:r>
      <w:r>
        <w:rPr>
          <w:snapToGrid w:val="0"/>
        </w:rPr>
        <w:tab/>
        <w:t>purchasing, contracting for the use of, or otherwise acquiring (other than by compulsory acquisition) any land or houses;</w:t>
      </w:r>
    </w:p>
    <w:p>
      <w:pPr>
        <w:pStyle w:val="Indenta"/>
        <w:spacing w:before="60"/>
        <w:rPr>
          <w:snapToGrid w:val="0"/>
        </w:rPr>
      </w:pPr>
      <w:r>
        <w:rPr>
          <w:snapToGrid w:val="0"/>
        </w:rPr>
        <w:tab/>
        <w:t>(b)</w:t>
      </w:r>
      <w:r>
        <w:rPr>
          <w:snapToGrid w:val="0"/>
        </w:rPr>
        <w:tab/>
        <w:t>the erection of houses on land acquired by the Authority;</w:t>
      </w:r>
    </w:p>
    <w:p>
      <w:pPr>
        <w:pStyle w:val="Indenta"/>
        <w:spacing w:before="60"/>
        <w:rPr>
          <w:snapToGrid w:val="0"/>
        </w:rPr>
      </w:pPr>
      <w:r>
        <w:rPr>
          <w:snapToGrid w:val="0"/>
        </w:rPr>
        <w:tab/>
        <w:t>(c)</w:t>
      </w:r>
      <w:r>
        <w:rPr>
          <w:snapToGrid w:val="0"/>
        </w:rPr>
        <w:tab/>
        <w:t>letting or disposing of houses or land owned by or under the control of the Authority; and</w:t>
      </w:r>
    </w:p>
    <w:p>
      <w:pPr>
        <w:pStyle w:val="Indenta"/>
        <w:spacing w:before="60"/>
        <w:rPr>
          <w:snapToGrid w:val="0"/>
        </w:rPr>
      </w:pPr>
      <w:r>
        <w:rPr>
          <w:snapToGrid w:val="0"/>
        </w:rPr>
        <w:tab/>
        <w:t>(d)</w:t>
      </w:r>
      <w:r>
        <w:rPr>
          <w:snapToGrid w:val="0"/>
        </w:rPr>
        <w:tab/>
        <w:t>doing such other things as under this Act are required or permitted to be done by the Authority.</w:t>
      </w:r>
    </w:p>
    <w:p>
      <w:pPr>
        <w:pStyle w:val="Heading5"/>
        <w:spacing w:before="180"/>
        <w:rPr>
          <w:snapToGrid w:val="0"/>
        </w:rPr>
      </w:pPr>
      <w:bookmarkStart w:id="35" w:name="_Toc421611506"/>
      <w:bookmarkStart w:id="36" w:name="_Toc503062605"/>
      <w:bookmarkStart w:id="37" w:name="_Toc122752050"/>
      <w:bookmarkStart w:id="38" w:name="_Toc139688986"/>
      <w:r>
        <w:rPr>
          <w:rStyle w:val="CharSectno"/>
        </w:rPr>
        <w:t>17</w:t>
      </w:r>
      <w:r>
        <w:rPr>
          <w:snapToGrid w:val="0"/>
        </w:rPr>
        <w:t>.</w:t>
      </w:r>
      <w:r>
        <w:rPr>
          <w:snapToGrid w:val="0"/>
        </w:rPr>
        <w:tab/>
        <w:t>Transfer to Authority of land and houses</w:t>
      </w:r>
      <w:bookmarkEnd w:id="35"/>
      <w:bookmarkEnd w:id="36"/>
      <w:bookmarkEnd w:id="37"/>
      <w:bookmarkEnd w:id="38"/>
      <w:r>
        <w:rPr>
          <w:snapToGrid w:val="0"/>
        </w:rPr>
        <w:t xml:space="preserve"> </w:t>
      </w:r>
    </w:p>
    <w:p>
      <w:pPr>
        <w:pStyle w:val="Subsection"/>
        <w:spacing w:before="120"/>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spacing w:before="120"/>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39" w:name="_Toc421611507"/>
      <w:bookmarkStart w:id="40" w:name="_Toc503062606"/>
      <w:bookmarkStart w:id="41" w:name="_Toc122752051"/>
      <w:bookmarkStart w:id="42" w:name="_Toc139688987"/>
      <w:r>
        <w:rPr>
          <w:rStyle w:val="CharSectno"/>
        </w:rPr>
        <w:t>18</w:t>
      </w:r>
      <w:r>
        <w:rPr>
          <w:snapToGrid w:val="0"/>
        </w:rPr>
        <w:t>.</w:t>
      </w:r>
      <w:r>
        <w:rPr>
          <w:snapToGrid w:val="0"/>
        </w:rPr>
        <w:tab/>
        <w:t xml:space="preserve">Application may be made for houses for </w:t>
      </w:r>
      <w:bookmarkEnd w:id="39"/>
      <w:r>
        <w:rPr>
          <w:snapToGrid w:val="0"/>
        </w:rPr>
        <w:t>Department</w:t>
      </w:r>
      <w:bookmarkEnd w:id="40"/>
      <w:bookmarkEnd w:id="41"/>
      <w:bookmarkEnd w:id="42"/>
      <w:r>
        <w:rPr>
          <w:snapToGrid w:val="0"/>
        </w:rPr>
        <w:t xml:space="preserve"> </w:t>
      </w:r>
    </w:p>
    <w:p>
      <w:pPr>
        <w:pStyle w:val="Subsection"/>
        <w:spacing w:before="140"/>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spacing w:before="140"/>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spacing w:before="140"/>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spacing w:before="140"/>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 by No. 28 of 2006 s. 301.]</w:t>
      </w:r>
    </w:p>
    <w:p>
      <w:pPr>
        <w:pStyle w:val="Heading5"/>
        <w:rPr>
          <w:snapToGrid w:val="0"/>
        </w:rPr>
      </w:pPr>
      <w:bookmarkStart w:id="43" w:name="_Toc421611508"/>
      <w:bookmarkStart w:id="44" w:name="_Toc503062607"/>
      <w:bookmarkStart w:id="45" w:name="_Toc122752052"/>
      <w:bookmarkStart w:id="46" w:name="_Toc139688988"/>
      <w:r>
        <w:rPr>
          <w:rStyle w:val="CharSectno"/>
        </w:rPr>
        <w:t>19</w:t>
      </w:r>
      <w:r>
        <w:rPr>
          <w:snapToGrid w:val="0"/>
        </w:rPr>
        <w:t>.</w:t>
      </w:r>
      <w:r>
        <w:rPr>
          <w:snapToGrid w:val="0"/>
        </w:rPr>
        <w:tab/>
        <w:t>Powers of Authority</w:t>
      </w:r>
      <w:bookmarkEnd w:id="43"/>
      <w:bookmarkEnd w:id="44"/>
      <w:bookmarkEnd w:id="45"/>
      <w:bookmarkEnd w:id="46"/>
      <w:r>
        <w:rPr>
          <w:snapToGrid w:val="0"/>
        </w:rPr>
        <w:t xml:space="preserve"> </w:t>
      </w:r>
    </w:p>
    <w:p>
      <w:pPr>
        <w:pStyle w:val="Subsection"/>
        <w:spacing w:before="140"/>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s.7; No. 1 of 1995 s.24; No. 38 of 2005 s. 15; No. 28 of 2006 s. 302.] </w:t>
      </w:r>
    </w:p>
    <w:p>
      <w:pPr>
        <w:pStyle w:val="Heading5"/>
        <w:rPr>
          <w:snapToGrid w:val="0"/>
        </w:rPr>
      </w:pPr>
      <w:bookmarkStart w:id="47" w:name="_Toc421611509"/>
      <w:bookmarkStart w:id="48" w:name="_Toc503062608"/>
      <w:bookmarkStart w:id="49" w:name="_Toc122752053"/>
      <w:bookmarkStart w:id="50" w:name="_Toc139688989"/>
      <w:r>
        <w:rPr>
          <w:rStyle w:val="CharSectno"/>
        </w:rPr>
        <w:t>20</w:t>
      </w:r>
      <w:r>
        <w:rPr>
          <w:snapToGrid w:val="0"/>
        </w:rPr>
        <w:t>.</w:t>
      </w:r>
      <w:r>
        <w:rPr>
          <w:snapToGrid w:val="0"/>
        </w:rPr>
        <w:tab/>
        <w:t>Power to accept gifts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Ednotesection"/>
      </w:pPr>
      <w:bookmarkStart w:id="51" w:name="_Toc122752055"/>
      <w:bookmarkStart w:id="52" w:name="_Toc122752091"/>
      <w:bookmarkStart w:id="53" w:name="_Toc123002589"/>
      <w:bookmarkStart w:id="54" w:name="_Toc131395203"/>
      <w:r>
        <w:t>[</w:t>
      </w:r>
      <w:r>
        <w:rPr>
          <w:b/>
        </w:rPr>
        <w:t>21.</w:t>
      </w:r>
      <w:r>
        <w:tab/>
        <w:t xml:space="preserve">Repealed by No. 28 of 2006 s. 303.] </w:t>
      </w:r>
    </w:p>
    <w:p>
      <w:pPr>
        <w:pStyle w:val="Heading2"/>
      </w:pPr>
      <w:bookmarkStart w:id="55" w:name="_Toc139688990"/>
      <w:r>
        <w:rPr>
          <w:rStyle w:val="CharPartNo"/>
        </w:rPr>
        <w:t>Part IV</w:t>
      </w:r>
      <w:r>
        <w:rPr>
          <w:rStyle w:val="CharDivNo"/>
        </w:rPr>
        <w:t> </w:t>
      </w:r>
      <w:r>
        <w:t>—</w:t>
      </w:r>
      <w:r>
        <w:rPr>
          <w:rStyle w:val="CharDivText"/>
        </w:rPr>
        <w:t> </w:t>
      </w:r>
      <w:r>
        <w:rPr>
          <w:rStyle w:val="CharPartText"/>
        </w:rPr>
        <w:t>Finance</w:t>
      </w:r>
      <w:bookmarkEnd w:id="51"/>
      <w:bookmarkEnd w:id="52"/>
      <w:bookmarkEnd w:id="53"/>
      <w:bookmarkEnd w:id="54"/>
      <w:bookmarkEnd w:id="55"/>
      <w:r>
        <w:rPr>
          <w:rStyle w:val="CharPartText"/>
        </w:rPr>
        <w:t xml:space="preserve"> </w:t>
      </w:r>
    </w:p>
    <w:p>
      <w:pPr>
        <w:pStyle w:val="Heading5"/>
        <w:rPr>
          <w:snapToGrid w:val="0"/>
        </w:rPr>
      </w:pPr>
      <w:bookmarkStart w:id="56" w:name="_Toc421611511"/>
      <w:bookmarkStart w:id="57" w:name="_Toc503062610"/>
      <w:bookmarkStart w:id="58" w:name="_Toc122752056"/>
      <w:bookmarkStart w:id="59" w:name="_Toc139688991"/>
      <w:r>
        <w:rPr>
          <w:rStyle w:val="CharSectno"/>
        </w:rPr>
        <w:t>22</w:t>
      </w:r>
      <w:r>
        <w:rPr>
          <w:snapToGrid w:val="0"/>
        </w:rPr>
        <w:t>.</w:t>
      </w:r>
      <w:r>
        <w:rPr>
          <w:snapToGrid w:val="0"/>
        </w:rPr>
        <w:tab/>
        <w:t>Power to borrow money</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60" w:name="_Toc421611512"/>
      <w:bookmarkStart w:id="61" w:name="_Toc503062611"/>
      <w:bookmarkStart w:id="62" w:name="_Toc122752057"/>
      <w:bookmarkStart w:id="63" w:name="_Toc139688992"/>
      <w:r>
        <w:rPr>
          <w:rStyle w:val="CharSectno"/>
        </w:rPr>
        <w:t>23</w:t>
      </w:r>
      <w:r>
        <w:rPr>
          <w:snapToGrid w:val="0"/>
        </w:rPr>
        <w:t>.</w:t>
      </w:r>
      <w:r>
        <w:rPr>
          <w:snapToGrid w:val="0"/>
        </w:rPr>
        <w:tab/>
        <w:t>Funds of Authority</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 by No. 28 of 2006 s. 304.]</w:t>
      </w:r>
    </w:p>
    <w:p>
      <w:pPr>
        <w:pStyle w:val="Heading5"/>
        <w:spacing w:before="200"/>
        <w:rPr>
          <w:snapToGrid w:val="0"/>
        </w:rPr>
      </w:pPr>
      <w:bookmarkStart w:id="64" w:name="_Toc421611513"/>
      <w:bookmarkStart w:id="65" w:name="_Toc503062612"/>
      <w:bookmarkStart w:id="66" w:name="_Toc122752058"/>
      <w:bookmarkStart w:id="67" w:name="_Toc139688993"/>
      <w:r>
        <w:rPr>
          <w:rStyle w:val="CharSectno"/>
        </w:rPr>
        <w:t>24</w:t>
      </w:r>
      <w:r>
        <w:rPr>
          <w:snapToGrid w:val="0"/>
        </w:rPr>
        <w:t>.</w:t>
      </w:r>
      <w:r>
        <w:rPr>
          <w:snapToGrid w:val="0"/>
        </w:rPr>
        <w:tab/>
        <w:t>Establishment of Government Employees’ Housing Fund</w:t>
      </w:r>
      <w:bookmarkEnd w:id="64"/>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 xml:space="preserve">For the purposes of administering this Act there shall be established, as part of the Trust Fund constituted under section 9 of the </w:t>
      </w:r>
      <w:r>
        <w:rPr>
          <w:i/>
          <w:snapToGrid w:val="0"/>
        </w:rPr>
        <w:t>Financial Administration and Audit Act 1985</w:t>
      </w:r>
      <w:r>
        <w:rPr>
          <w:snapToGrid w:val="0"/>
        </w:rPr>
        <w:t>, an account to be called the “Government Employees’ Housing Fund” to which shall be credited all moneys received by or for the Authority and to which shall be charged all costs of operation and administration of this Act.</w:t>
      </w:r>
    </w:p>
    <w:p>
      <w:pPr>
        <w:pStyle w:val="Subsection"/>
        <w:spacing w:before="140"/>
        <w:rPr>
          <w:snapToGrid w:val="0"/>
        </w:rPr>
      </w:pPr>
      <w:r>
        <w:rPr>
          <w:snapToGrid w:val="0"/>
        </w:rPr>
        <w:tab/>
        <w:t>(2)</w:t>
      </w:r>
      <w:r>
        <w:rPr>
          <w:snapToGrid w:val="0"/>
        </w:rPr>
        <w:tab/>
        <w:t>The Fund shall be controlled by the Authority and may be operated upon for the purposes in such manner as the Treasurer approves from time to time.</w:t>
      </w:r>
    </w:p>
    <w:p>
      <w:pPr>
        <w:pStyle w:val="Subsection"/>
        <w:spacing w:before="140"/>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pPr>
        <w:pStyle w:val="Footnotesection"/>
        <w:spacing w:before="100"/>
        <w:ind w:left="890" w:hanging="890"/>
      </w:pPr>
      <w:r>
        <w:tab/>
        <w:t xml:space="preserve">[Section 24 amended by No. 98 of 1985 s.3; No. 49 of 1996 s.64; No. 28 of 2006 s. 305; Correction to reprint in Gazette 9 May 2003 p. 1619.] </w:t>
      </w:r>
    </w:p>
    <w:p>
      <w:pPr>
        <w:pStyle w:val="Heading2"/>
      </w:pPr>
      <w:bookmarkStart w:id="68" w:name="_Toc122752059"/>
      <w:bookmarkStart w:id="69" w:name="_Toc122752095"/>
      <w:bookmarkStart w:id="70" w:name="_Toc123002593"/>
      <w:bookmarkStart w:id="71" w:name="_Toc131395207"/>
      <w:bookmarkStart w:id="72" w:name="_Toc139688994"/>
      <w:r>
        <w:rPr>
          <w:rStyle w:val="CharPartNo"/>
        </w:rPr>
        <w:t>Part V</w:t>
      </w:r>
      <w:r>
        <w:rPr>
          <w:rStyle w:val="CharDivNo"/>
        </w:rPr>
        <w:t> </w:t>
      </w:r>
      <w:r>
        <w:t>—</w:t>
      </w:r>
      <w:r>
        <w:rPr>
          <w:rStyle w:val="CharDivText"/>
        </w:rPr>
        <w:t> </w:t>
      </w:r>
      <w:r>
        <w:rPr>
          <w:rStyle w:val="CharPartText"/>
        </w:rPr>
        <w:t>Miscellaneous</w:t>
      </w:r>
      <w:bookmarkEnd w:id="68"/>
      <w:bookmarkEnd w:id="69"/>
      <w:bookmarkEnd w:id="70"/>
      <w:bookmarkEnd w:id="71"/>
      <w:bookmarkEnd w:id="72"/>
      <w:r>
        <w:rPr>
          <w:rStyle w:val="CharPartText"/>
        </w:rPr>
        <w:t xml:space="preserve"> </w:t>
      </w:r>
    </w:p>
    <w:p>
      <w:pPr>
        <w:pStyle w:val="Ednotesection"/>
      </w:pPr>
      <w:r>
        <w:t>[</w:t>
      </w:r>
      <w:r>
        <w:rPr>
          <w:b/>
        </w:rPr>
        <w:t>25.</w:t>
      </w:r>
      <w:r>
        <w:tab/>
        <w:t xml:space="preserve">Repealed by No. 28 of 2006 s. 306.] </w:t>
      </w:r>
    </w:p>
    <w:p>
      <w:pPr>
        <w:pStyle w:val="Ednotesection"/>
      </w:pPr>
      <w:r>
        <w:t>[</w:t>
      </w:r>
      <w:r>
        <w:rPr>
          <w:b/>
        </w:rPr>
        <w:t>26.</w:t>
      </w:r>
      <w:r>
        <w:tab/>
        <w:t xml:space="preserve">Repealed by No. 98 of 1985 s.3.] </w:t>
      </w:r>
    </w:p>
    <w:p>
      <w:pPr>
        <w:pStyle w:val="Heading5"/>
        <w:rPr>
          <w:snapToGrid w:val="0"/>
        </w:rPr>
      </w:pPr>
      <w:bookmarkStart w:id="73" w:name="_Toc421611515"/>
      <w:bookmarkStart w:id="74" w:name="_Toc503062614"/>
      <w:bookmarkStart w:id="75" w:name="_Toc122752061"/>
      <w:bookmarkStart w:id="76" w:name="_Toc139688995"/>
      <w:r>
        <w:rPr>
          <w:rStyle w:val="CharSectno"/>
        </w:rPr>
        <w:t>27</w:t>
      </w:r>
      <w:r>
        <w:rPr>
          <w:snapToGrid w:val="0"/>
        </w:rPr>
        <w:t>.</w:t>
      </w:r>
      <w:r>
        <w:rPr>
          <w:snapToGrid w:val="0"/>
        </w:rPr>
        <w:tab/>
        <w:t>Exemption from personal liability</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77" w:name="_Toc421611516"/>
      <w:bookmarkStart w:id="78" w:name="_Toc503062615"/>
      <w:bookmarkStart w:id="79" w:name="_Toc122752062"/>
      <w:bookmarkStart w:id="80" w:name="_Toc139688996"/>
      <w:r>
        <w:rPr>
          <w:rStyle w:val="CharSectno"/>
        </w:rPr>
        <w:t>28</w:t>
      </w:r>
      <w:r>
        <w:rPr>
          <w:snapToGrid w:val="0"/>
        </w:rPr>
        <w:t>.</w:t>
      </w:r>
      <w:r>
        <w:rPr>
          <w:snapToGrid w:val="0"/>
        </w:rPr>
        <w:tab/>
        <w:t>Determination of tenancy</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s.8; No. 28 of 2003 s. 71.]</w:t>
      </w:r>
    </w:p>
    <w:p>
      <w:pPr>
        <w:pStyle w:val="Heading5"/>
        <w:rPr>
          <w:snapToGrid w:val="0"/>
        </w:rPr>
      </w:pPr>
      <w:bookmarkStart w:id="81" w:name="_Toc421611517"/>
      <w:bookmarkStart w:id="82" w:name="_Toc503062616"/>
      <w:bookmarkStart w:id="83" w:name="_Toc122752063"/>
      <w:bookmarkStart w:id="84" w:name="_Toc139688997"/>
      <w:r>
        <w:rPr>
          <w:rStyle w:val="CharSectno"/>
        </w:rPr>
        <w:t>29</w:t>
      </w:r>
      <w:r>
        <w:rPr>
          <w:snapToGrid w:val="0"/>
        </w:rPr>
        <w:t>.</w:t>
      </w:r>
      <w:r>
        <w:rPr>
          <w:snapToGrid w:val="0"/>
        </w:rPr>
        <w:tab/>
        <w:t>Regulations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85" w:name="_Toc421611518"/>
      <w:r>
        <w:tab/>
        <w:t>[Section 29 amended by No. 113 of 1965 s.8(1).]</w:t>
      </w:r>
    </w:p>
    <w:p>
      <w:pPr>
        <w:pStyle w:val="Heading5"/>
        <w:rPr>
          <w:snapToGrid w:val="0"/>
        </w:rPr>
      </w:pPr>
      <w:bookmarkStart w:id="86" w:name="_Toc503062617"/>
      <w:bookmarkStart w:id="87" w:name="_Toc122752064"/>
      <w:bookmarkStart w:id="88" w:name="_Toc139688998"/>
      <w:r>
        <w:rPr>
          <w:rStyle w:val="CharSectno"/>
        </w:rPr>
        <w:t>30</w:t>
      </w:r>
      <w:r>
        <w:rPr>
          <w:snapToGrid w:val="0"/>
        </w:rPr>
        <w:t>.</w:t>
      </w:r>
      <w:r>
        <w:rPr>
          <w:snapToGrid w:val="0"/>
        </w:rPr>
        <w:tab/>
        <w:t>Review of Act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89" w:name="_Toc122752065"/>
      <w:bookmarkStart w:id="90" w:name="_Toc122752101"/>
      <w:bookmarkStart w:id="91" w:name="_Toc123002599"/>
      <w:bookmarkStart w:id="92" w:name="_Toc131395213"/>
      <w:bookmarkStart w:id="93" w:name="_Toc139688999"/>
      <w:r>
        <w:t>Notes</w:t>
      </w:r>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bookmarkStart w:id="94" w:name="UpToHere"/>
      <w:r>
        <w:rPr>
          <w:snapToGrid w:val="0"/>
        </w:rPr>
        <w:t xml:space="preserve">  </w:t>
      </w:r>
      <w:bookmarkEnd w:id="94"/>
      <w:r>
        <w:rPr>
          <w:snapToGrid w:val="0"/>
        </w:rPr>
        <w:t>The table also contains information about any reprint.</w:t>
      </w:r>
    </w:p>
    <w:p>
      <w:pPr>
        <w:pStyle w:val="nHeading3"/>
        <w:rPr>
          <w:snapToGrid w:val="0"/>
        </w:rPr>
      </w:pPr>
      <w:bookmarkStart w:id="95" w:name="_Toc139689000"/>
      <w:r>
        <w:rPr>
          <w:snapToGrid w:val="0"/>
        </w:rPr>
        <w:t>Compilation table</w:t>
      </w:r>
      <w:bookmarkEnd w:id="9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Proclaimed 2 Aug 1965 (see section 2 and </w:t>
            </w:r>
            <w:r>
              <w:rPr>
                <w:i/>
                <w:sz w:val="19"/>
              </w:rPr>
              <w:t>Gazette</w:t>
            </w:r>
            <w:r>
              <w:rPr>
                <w:sz w:val="19"/>
              </w:rPr>
              <w:t xml:space="preserve"> 23 Jul 1965 p.2133)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 xml:space="preserve">Sections 4 to 9: </w:t>
            </w:r>
            <w:r>
              <w:rPr>
                <w:sz w:val="19"/>
              </w:rPr>
              <w:br/>
              <w:t>14 Feb 1966 (see section 2(2)); balance on assent</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Proclaimed 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3</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 xml:space="preserve">Sections 4, 5 and 6 proclaimed 22 Apr 1988 (see section 2 and </w:t>
            </w:r>
            <w:r>
              <w:rPr>
                <w:i/>
                <w:sz w:val="19"/>
              </w:rPr>
              <w:t>Gazette</w:t>
            </w:r>
            <w:r>
              <w:rPr>
                <w:sz w:val="19"/>
              </w:rPr>
              <w:t xml:space="preserve"> 22 Apr 1988 p.1219); balance on assent</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r>
              <w:rPr>
                <w:sz w:val="19"/>
              </w:rPr>
              <w:br/>
              <w:t>Part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Proclaimed </w:t>
            </w:r>
            <w:r>
              <w:rPr>
                <w:sz w:val="19"/>
              </w:rPr>
              <w:b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Industrial Legislation Amendment Act 1995</w:t>
            </w:r>
            <w:r>
              <w:rPr>
                <w:sz w:val="19"/>
              </w:rPr>
              <w:t>,</w:t>
            </w:r>
            <w:r>
              <w:rPr>
                <w:sz w:val="19"/>
              </w:rPr>
              <w:br/>
              <w:t>section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9 May 1995 </w:t>
            </w:r>
            <w:r>
              <w:rPr>
                <w:sz w:val="19"/>
              </w:rPr>
              <w:br/>
              <w:t>(see section 2)</w:t>
            </w:r>
          </w:p>
        </w:tc>
      </w:tr>
      <w:tr>
        <w:trPr>
          <w:cantSplit/>
        </w:trPr>
        <w:tc>
          <w:tcPr>
            <w:tcW w:w="2268" w:type="dxa"/>
          </w:tcPr>
          <w:p>
            <w:pPr>
              <w:pStyle w:val="nTable"/>
              <w:spacing w:after="40"/>
              <w:ind w:right="113"/>
              <w:rPr>
                <w:sz w:val="19"/>
              </w:rPr>
            </w:pPr>
            <w:r>
              <w:rPr>
                <w:i/>
                <w:sz w:val="19"/>
              </w:rPr>
              <w:t>Education Amendment Act 1996</w:t>
            </w:r>
            <w:r>
              <w:rPr>
                <w:sz w:val="19"/>
              </w:rPr>
              <w:t>,</w:t>
            </w:r>
            <w:r>
              <w:rPr>
                <w:sz w:val="19"/>
              </w:rPr>
              <w:br/>
              <w:t>section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section 2(1))</w:t>
            </w:r>
          </w:p>
        </w:tc>
      </w:tr>
      <w:tr>
        <w:trPr>
          <w:cantSplit/>
        </w:trPr>
        <w:tc>
          <w:tcPr>
            <w:tcW w:w="2268"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w:t>
            </w:r>
            <w:r>
              <w:rPr>
                <w:sz w:val="19"/>
              </w:rPr>
              <w:br/>
              <w:t>(see section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Proclaimed 1 Jan 2001 (see section 2 and </w:t>
            </w:r>
            <w:r>
              <w:rPr>
                <w:i/>
                <w:sz w:val="19"/>
              </w:rPr>
              <w:t>Gazette</w:t>
            </w:r>
            <w:r>
              <w:rPr>
                <w:sz w:val="19"/>
              </w:rPr>
              <w:t xml:space="preserve"> 29 Dec 2000 p.7904)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sz w:val="19"/>
              </w:rPr>
              <w:t xml:space="preserve"> (includes amendments listed above)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pPr>
      <w:r>
        <w:rPr>
          <w:vertAlign w:val="superscript"/>
        </w:rPr>
        <w:t>2</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96" w:name="_Toc101073355"/>
      <w:bookmarkStart w:id="97" w:name="_Toc101080538"/>
      <w:bookmarkStart w:id="98" w:name="_Toc101081201"/>
      <w:bookmarkStart w:id="99" w:name="_Toc101174163"/>
      <w:bookmarkStart w:id="100" w:name="_Toc101256839"/>
      <w:bookmarkStart w:id="101" w:name="_Toc101260891"/>
      <w:bookmarkStart w:id="102" w:name="_Toc101329672"/>
      <w:bookmarkStart w:id="103" w:name="_Toc101351113"/>
      <w:bookmarkStart w:id="104" w:name="_Toc101578993"/>
      <w:bookmarkStart w:id="105" w:name="_Toc101599968"/>
      <w:bookmarkStart w:id="106" w:name="_Toc101666800"/>
      <w:bookmarkStart w:id="107" w:name="_Toc101672762"/>
      <w:bookmarkStart w:id="108" w:name="_Toc101675272"/>
      <w:bookmarkStart w:id="109" w:name="_Toc101682998"/>
      <w:bookmarkStart w:id="110" w:name="_Toc101690268"/>
      <w:bookmarkStart w:id="111" w:name="_Toc101769600"/>
      <w:bookmarkStart w:id="112" w:name="_Toc101770886"/>
      <w:bookmarkStart w:id="113" w:name="_Toc101774343"/>
      <w:bookmarkStart w:id="114" w:name="_Toc101845307"/>
      <w:bookmarkStart w:id="115" w:name="_Toc102981960"/>
      <w:bookmarkStart w:id="116" w:name="_Toc103570066"/>
      <w:bookmarkStart w:id="117" w:name="_Toc106089302"/>
      <w:bookmarkStart w:id="118" w:name="_Toc106097357"/>
      <w:bookmarkStart w:id="119" w:name="_Toc136050503"/>
      <w:bookmarkStart w:id="120" w:name="_Toc138660882"/>
      <w:bookmarkStart w:id="121" w:name="_Toc138661461"/>
      <w:bookmarkStart w:id="122" w:name="_Toc138750462"/>
      <w:bookmarkStart w:id="123" w:name="_Toc138751147"/>
      <w:bookmarkStart w:id="124" w:name="_Toc139166888"/>
      <w:r>
        <w:t>Division 6 — Transitional matters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nzHeading5"/>
      </w:pPr>
      <w:bookmarkStart w:id="125" w:name="_Toc100544670"/>
      <w:bookmarkStart w:id="126" w:name="_Toc138661462"/>
      <w:bookmarkStart w:id="127" w:name="_Toc138751148"/>
      <w:bookmarkStart w:id="128" w:name="_Toc139166889"/>
      <w:r>
        <w:t>336.</w:t>
      </w:r>
      <w:r>
        <w:tab/>
        <w:t>Financial reporting</w:t>
      </w:r>
      <w:bookmarkEnd w:id="125"/>
      <w:bookmarkEnd w:id="126"/>
      <w:bookmarkEnd w:id="127"/>
      <w:bookmarkEnd w:id="128"/>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rStyle w:val="CharDefText"/>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rStyle w:val="CharDefText"/>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129" w:name="_Toc100544671"/>
      <w:bookmarkStart w:id="130" w:name="_Toc138661463"/>
      <w:bookmarkStart w:id="131" w:name="_Toc138751149"/>
      <w:bookmarkStart w:id="132" w:name="_Toc139166890"/>
      <w:r>
        <w:t>337.</w:t>
      </w:r>
      <w:r>
        <w:tab/>
        <w:t>References to former bodies</w:t>
      </w:r>
      <w:bookmarkEnd w:id="129"/>
      <w:bookmarkEnd w:id="130"/>
      <w:bookmarkEnd w:id="131"/>
      <w:bookmarkEnd w:id="132"/>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33" w:name="_Toc40495503"/>
      <w:bookmarkStart w:id="134" w:name="_Toc100544672"/>
      <w:bookmarkStart w:id="135" w:name="_Toc138661464"/>
      <w:bookmarkStart w:id="136" w:name="_Toc138751150"/>
      <w:bookmarkStart w:id="137" w:name="_Toc139166891"/>
      <w:r>
        <w:t>338.</w:t>
      </w:r>
      <w:r>
        <w:tab/>
      </w:r>
      <w:r>
        <w:rPr>
          <w:i/>
          <w:iCs/>
        </w:rPr>
        <w:t>Government Employees’ Housing Act 1964</w:t>
      </w:r>
      <w:bookmarkEnd w:id="133"/>
      <w:bookmarkEnd w:id="134"/>
      <w:bookmarkEnd w:id="135"/>
      <w:bookmarkEnd w:id="136"/>
      <w:bookmarkEnd w:id="137"/>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38" w:name="_Toc40495504"/>
      <w:bookmarkStart w:id="139" w:name="_Toc100544673"/>
      <w:bookmarkStart w:id="140" w:name="_Toc138661465"/>
      <w:bookmarkStart w:id="141" w:name="_Toc138751151"/>
      <w:bookmarkStart w:id="142" w:name="_Toc139166892"/>
      <w:r>
        <w:t>339.</w:t>
      </w:r>
      <w:r>
        <w:tab/>
      </w:r>
      <w:r>
        <w:rPr>
          <w:i/>
          <w:iCs/>
        </w:rPr>
        <w:t>Housing Act 1980</w:t>
      </w:r>
      <w:bookmarkEnd w:id="138"/>
      <w:bookmarkEnd w:id="139"/>
      <w:bookmarkEnd w:id="140"/>
      <w:bookmarkEnd w:id="141"/>
      <w:bookmarkEnd w:id="142"/>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43" w:name="_Toc100544674"/>
      <w:bookmarkStart w:id="144" w:name="_Toc138661466"/>
      <w:bookmarkStart w:id="145" w:name="_Toc138751152"/>
      <w:bookmarkStart w:id="146" w:name="_Toc139166893"/>
      <w:r>
        <w:t>340.</w:t>
      </w:r>
      <w:r>
        <w:tab/>
        <w:t>Interpretation</w:t>
      </w:r>
      <w:bookmarkEnd w:id="143"/>
      <w:bookmarkEnd w:id="144"/>
      <w:bookmarkEnd w:id="145"/>
      <w:bookmarkEnd w:id="146"/>
    </w:p>
    <w:p>
      <w:pPr>
        <w:pStyle w:val="nzSubsection"/>
      </w:pPr>
      <w:r>
        <w:tab/>
      </w:r>
      <w:r>
        <w:tab/>
        <w:t xml:space="preserve">In this Division — </w:t>
      </w:r>
    </w:p>
    <w:p>
      <w:pPr>
        <w:pStyle w:val="nzDefstart"/>
      </w:pPr>
      <w:r>
        <w:rPr>
          <w:b/>
        </w:rPr>
        <w:tab/>
        <w:t>“</w:t>
      </w:r>
      <w:r>
        <w:rPr>
          <w:rStyle w:val="CharDefText"/>
        </w:rPr>
        <w:t>commencement</w:t>
      </w:r>
      <w:r>
        <w:rPr>
          <w:b/>
        </w:rPr>
        <w:t>”</w:t>
      </w:r>
      <w:r>
        <w:t xml:space="preserve"> means the time at which section 314 comes into operation;</w:t>
      </w:r>
    </w:p>
    <w:p>
      <w:pPr>
        <w:pStyle w:val="nzDefstart"/>
      </w:pPr>
      <w:r>
        <w:rPr>
          <w:b/>
        </w:rPr>
        <w:tab/>
        <w:t>“</w:t>
      </w:r>
      <w:r>
        <w:rPr>
          <w:rStyle w:val="CharDefText"/>
        </w:rPr>
        <w:t>former body</w:t>
      </w:r>
      <w:r>
        <w:rPr>
          <w:b/>
          <w:bCs/>
        </w:rPr>
        <w:t>”</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rStyle w:val="CharDefText"/>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keepNext/>
        <w:keepLines/>
        <w:rPr>
          <w:snapToGrid w:val="0"/>
        </w:rPr>
      </w:pPr>
      <w:r>
        <w:rPr>
          <w:snapToGrid w:val="0"/>
          <w:vertAlign w:val="superscript"/>
        </w:rPr>
        <w:t>3</w:t>
      </w:r>
      <w:r>
        <w:rPr>
          <w:snapToGrid w:val="0"/>
        </w:rPr>
        <w:tab/>
        <w:t xml:space="preserve">Section 4(2) of the </w:t>
      </w:r>
      <w:r>
        <w:rPr>
          <w:i/>
        </w:rPr>
        <w:t xml:space="preserve">Government Employees’ Housing Amendment Act 1987 </w:t>
      </w:r>
      <w:r>
        <w:t>(</w:t>
      </w:r>
      <w:r>
        <w:rPr>
          <w:snapToGrid w:val="0"/>
        </w:rPr>
        <w:t>No. 62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rPr>
          <w:snapToGrid w:val="0"/>
        </w:rPr>
      </w:pPr>
      <w:r>
        <w:rPr>
          <w:snapToGrid w:val="0"/>
        </w:rPr>
        <w:t>”.</w:t>
      </w:r>
    </w:p>
    <w:p>
      <w:pPr>
        <w:pStyle w:val="nSubsection"/>
      </w:pPr>
      <w:r>
        <w:rPr>
          <w:vertAlign w:val="superscript"/>
        </w:rPr>
        <w:t>4</w:t>
      </w:r>
      <w:r>
        <w:tab/>
        <w:t>Now known as Police Service.</w:t>
      </w:r>
    </w:p>
    <w:p>
      <w:pPr>
        <w:pStyle w:val="nSubsection"/>
      </w:pPr>
      <w:r>
        <w:rPr>
          <w:vertAlign w:val="superscript"/>
        </w:rPr>
        <w:t>5</w:t>
      </w:r>
      <w:r>
        <w:tab/>
        <w:t xml:space="preserve">Repealed by the </w:t>
      </w:r>
      <w:r>
        <w:rPr>
          <w:i/>
        </w:rPr>
        <w:t>Industrial Arbitration Act 1979</w:t>
      </w:r>
      <w:r>
        <w:t xml:space="preserve"> (No. 114 of 1979) now called the </w:t>
      </w:r>
      <w:r>
        <w:rPr>
          <w:i/>
        </w:rPr>
        <w:t>Industrial Relations Act 1979</w:t>
      </w:r>
      <w:r>
        <w:t>.</w:t>
      </w:r>
    </w:p>
    <w:p>
      <w:pPr>
        <w:pStyle w:val="nSubsection"/>
      </w:pPr>
      <w:r>
        <w:rPr>
          <w:vertAlign w:val="superscript"/>
        </w:rPr>
        <w:t>6</w:t>
      </w:r>
      <w:r>
        <w:tab/>
        <w:t xml:space="preserve">Repealed by the </w:t>
      </w:r>
      <w:r>
        <w:rPr>
          <w:i/>
        </w:rPr>
        <w:t>Housing Act 1980</w:t>
      </w:r>
      <w:r>
        <w:t xml:space="preserve"> (No. 58 of 1980) which preserved and continued the Commission.</w:t>
      </w:r>
    </w:p>
    <w:p/>
    <w:p>
      <w:pPr>
        <w:sectPr>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Employees’ Housing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fldSimple w:instr=" styleref CharPartNo ">
            <w:r>
              <w:rPr>
                <w:noProof/>
              </w:rPr>
              <w:t>Part V</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V</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EA69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A62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945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8033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271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CAE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B8E2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38B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1850AC"/>
    <w:lvl w:ilvl="0">
      <w:start w:val="1"/>
      <w:numFmt w:val="decimal"/>
      <w:pStyle w:val="ListNumber"/>
      <w:lvlText w:val="%1."/>
      <w:lvlJc w:val="left"/>
      <w:pPr>
        <w:tabs>
          <w:tab w:val="num" w:pos="360"/>
        </w:tabs>
        <w:ind w:left="360" w:hanging="360"/>
      </w:pPr>
    </w:lvl>
  </w:abstractNum>
  <w:abstractNum w:abstractNumId="9">
    <w:nsid w:val="FFFFFF89"/>
    <w:multiLevelType w:val="singleLevel"/>
    <w:tmpl w:val="AF3AB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938FC1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2988A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4EE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09045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09"/>
    <w:docVar w:name="WAFER_20151211133209" w:val="RemoveTrackChanges"/>
    <w:docVar w:name="WAFER_20151211133209_GUID" w:val="4251f163-d8c1-4dd2-88b6-77e9c0174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4656</Words>
  <Characters>22353</Characters>
  <Application>Microsoft Office Word</Application>
  <DocSecurity>0</DocSecurity>
  <Lines>657</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1964 - 01-d0-04</dc:title>
  <dc:subject/>
  <dc:creator/>
  <cp:keywords/>
  <dc:description/>
  <cp:lastModifiedBy>svcMRProcess</cp:lastModifiedBy>
  <cp:revision>4</cp:revision>
  <cp:lastPrinted>2003-05-09T01:53:00Z</cp:lastPrinted>
  <dcterms:created xsi:type="dcterms:W3CDTF">2015-12-13T07:14:00Z</dcterms:created>
  <dcterms:modified xsi:type="dcterms:W3CDTF">2015-12-13T07:14:00Z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328</vt:i4>
  </property>
  <property fmtid="{D5CDD505-2E9C-101B-9397-08002B2CF9AE}" pid="6" name="AsAtDate">
    <vt:lpwstr>01 Jul 2006</vt:lpwstr>
  </property>
  <property fmtid="{D5CDD505-2E9C-101B-9397-08002B2CF9AE}" pid="7" name="Suffix">
    <vt:lpwstr>01-d0-04</vt:lpwstr>
  </property>
</Properties>
</file>