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Health Professionals (Special Events Exemption) Act 2000</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Health Professionals (Special Events Exemption) Act 2000</w:t>
      </w:r>
      <w:r>
        <w:fldChar w:fldCharType="end"/>
      </w:r>
    </w:p>
    <w:p>
      <w:pPr>
        <w:pStyle w:val="Arrangement"/>
      </w:pPr>
      <w:r>
        <w:t>CONTENTS</w:t>
      </w:r>
    </w:p>
    <w:p>
      <w:pPr>
        <w:pStyle w:val="TOC2"/>
        <w:tabs>
          <w:tab w:val="right" w:leader="dot" w:pos="7086"/>
        </w:tabs>
        <w:rPr>
          <w:b w:val="0"/>
          <w:sz w:val="24"/>
          <w:szCs w:val="24"/>
        </w:rPr>
      </w:pPr>
      <w:r>
        <w:fldChar w:fldCharType="begin"/>
      </w:r>
      <w:r>
        <w:instrText xml:space="preserve"> TOC \t </w:instrText>
      </w:r>
      <w:r>
        <w:rPr>
          <w:lang w:val="en-US"/>
        </w:rPr>
        <w:instrText xml:space="preserve">"Heading 2,2,yScheduleHeading,2,yHeading 2,2,zHeading 2,3,zyScheduleHeading,3,zyHeading 2,3,Heading 3,4,yHeading 3,4,zHeading 3,5,zyHeading 3,5,Heading 4,6,yHeading 4,6,zHeading 4,7,zyHeading 4,7,Heading 5,8,yHeading 5,8,zHeading 5,9,zyHeading 5,9" \t "nHeading 2,2,nHeading 3,8" </w:instrText>
      </w:r>
      <w:r>
        <w:instrText>\n "2</w:instrText>
      </w:r>
      <w:r>
        <w:noBreakHyphen/>
        <w:instrText xml:space="preserve">7" \w \* MERGEFORMAT </w:instrText>
      </w:r>
      <w:r>
        <w:fldChar w:fldCharType="separate"/>
      </w:r>
      <w:r>
        <w:rPr>
          <w:szCs w:val="30"/>
        </w:rPr>
        <w:t>Part 1 — Preliminary</w:t>
      </w:r>
    </w:p>
    <w:p>
      <w:pPr>
        <w:pStyle w:val="TOC8"/>
        <w:rPr>
          <w:sz w:val="24"/>
          <w:szCs w:val="24"/>
        </w:rPr>
      </w:pPr>
      <w:r>
        <w:rPr>
          <w:szCs w:val="24"/>
        </w:rPr>
        <w:t>1</w:t>
      </w:r>
      <w:r>
        <w:rPr>
          <w:snapToGrid w:val="0"/>
          <w:szCs w:val="24"/>
        </w:rPr>
        <w:t>.</w:t>
      </w:r>
      <w:r>
        <w:rPr>
          <w:snapToGrid w:val="0"/>
          <w:szCs w:val="24"/>
        </w:rPr>
        <w:tab/>
        <w:t>Short title</w:t>
      </w:r>
      <w:r>
        <w:tab/>
      </w:r>
      <w:r>
        <w:fldChar w:fldCharType="begin"/>
      </w:r>
      <w:r>
        <w:instrText xml:space="preserve"> PAGEREF _Toc159746484 \h </w:instrText>
      </w:r>
      <w:r>
        <w:fldChar w:fldCharType="separate"/>
      </w:r>
      <w:r>
        <w:t>2</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_Toc159746485 \h </w:instrText>
      </w:r>
      <w:r>
        <w:fldChar w:fldCharType="separate"/>
      </w:r>
      <w:r>
        <w:t>2</w:t>
      </w:r>
      <w:r>
        <w:fldChar w:fldCharType="end"/>
      </w:r>
    </w:p>
    <w:p>
      <w:pPr>
        <w:pStyle w:val="TOC8"/>
        <w:rPr>
          <w:sz w:val="24"/>
          <w:szCs w:val="24"/>
        </w:rPr>
      </w:pPr>
      <w:r>
        <w:rPr>
          <w:szCs w:val="24"/>
        </w:rPr>
        <w:t>3</w:t>
      </w:r>
      <w:r>
        <w:rPr>
          <w:snapToGrid w:val="0"/>
          <w:szCs w:val="24"/>
        </w:rPr>
        <w:t>.</w:t>
      </w:r>
      <w:r>
        <w:rPr>
          <w:snapToGrid w:val="0"/>
          <w:szCs w:val="24"/>
        </w:rPr>
        <w:tab/>
        <w:t>Interpretation</w:t>
      </w:r>
      <w:r>
        <w:tab/>
      </w:r>
      <w:r>
        <w:fldChar w:fldCharType="begin"/>
      </w:r>
      <w:r>
        <w:instrText xml:space="preserve"> PAGEREF _Toc159746486 \h </w:instrText>
      </w:r>
      <w:r>
        <w:fldChar w:fldCharType="separate"/>
      </w:r>
      <w:r>
        <w:t>2</w:t>
      </w:r>
      <w:r>
        <w:fldChar w:fldCharType="end"/>
      </w:r>
    </w:p>
    <w:p>
      <w:pPr>
        <w:pStyle w:val="TOC8"/>
        <w:rPr>
          <w:sz w:val="24"/>
          <w:szCs w:val="24"/>
        </w:rPr>
      </w:pPr>
      <w:r>
        <w:rPr>
          <w:szCs w:val="24"/>
        </w:rPr>
        <w:t>4</w:t>
      </w:r>
      <w:r>
        <w:rPr>
          <w:snapToGrid w:val="0"/>
          <w:szCs w:val="24"/>
        </w:rPr>
        <w:t>.</w:t>
      </w:r>
      <w:r>
        <w:rPr>
          <w:snapToGrid w:val="0"/>
          <w:szCs w:val="24"/>
        </w:rPr>
        <w:tab/>
        <w:t>Definition of “visitor”</w:t>
      </w:r>
      <w:r>
        <w:tab/>
      </w:r>
      <w:r>
        <w:fldChar w:fldCharType="begin"/>
      </w:r>
      <w:r>
        <w:instrText xml:space="preserve"> PAGEREF _Toc159746487 \h </w:instrText>
      </w:r>
      <w:r>
        <w:fldChar w:fldCharType="separate"/>
      </w:r>
      <w:r>
        <w:t>3</w:t>
      </w:r>
      <w:r>
        <w:fldChar w:fldCharType="end"/>
      </w:r>
    </w:p>
    <w:p>
      <w:pPr>
        <w:pStyle w:val="TOC8"/>
        <w:rPr>
          <w:sz w:val="24"/>
          <w:szCs w:val="24"/>
        </w:rPr>
      </w:pPr>
      <w:r>
        <w:rPr>
          <w:szCs w:val="24"/>
        </w:rPr>
        <w:t>5</w:t>
      </w:r>
      <w:r>
        <w:rPr>
          <w:snapToGrid w:val="0"/>
          <w:szCs w:val="24"/>
        </w:rPr>
        <w:t>.</w:t>
      </w:r>
      <w:r>
        <w:rPr>
          <w:snapToGrid w:val="0"/>
          <w:szCs w:val="24"/>
        </w:rPr>
        <w:tab/>
        <w:t>Definition of “visiting health professional”</w:t>
      </w:r>
      <w:r>
        <w:tab/>
      </w:r>
      <w:r>
        <w:fldChar w:fldCharType="begin"/>
      </w:r>
      <w:r>
        <w:instrText xml:space="preserve"> PAGEREF _Toc159746488 \h </w:instrText>
      </w:r>
      <w:r>
        <w:fldChar w:fldCharType="separate"/>
      </w:r>
      <w:r>
        <w:t>4</w:t>
      </w:r>
      <w:r>
        <w:fldChar w:fldCharType="end"/>
      </w:r>
    </w:p>
    <w:p>
      <w:pPr>
        <w:pStyle w:val="TOC2"/>
        <w:tabs>
          <w:tab w:val="right" w:leader="dot" w:pos="7086"/>
        </w:tabs>
        <w:rPr>
          <w:b w:val="0"/>
          <w:sz w:val="24"/>
          <w:szCs w:val="24"/>
        </w:rPr>
      </w:pPr>
      <w:r>
        <w:rPr>
          <w:szCs w:val="30"/>
        </w:rPr>
        <w:t>Part 2 — Special events exemptions</w:t>
      </w:r>
    </w:p>
    <w:p>
      <w:pPr>
        <w:pStyle w:val="TOC8"/>
        <w:rPr>
          <w:sz w:val="24"/>
          <w:szCs w:val="24"/>
        </w:rPr>
      </w:pPr>
      <w:r>
        <w:rPr>
          <w:szCs w:val="24"/>
        </w:rPr>
        <w:t>6</w:t>
      </w:r>
      <w:r>
        <w:rPr>
          <w:snapToGrid w:val="0"/>
          <w:szCs w:val="24"/>
        </w:rPr>
        <w:t>.</w:t>
      </w:r>
      <w:r>
        <w:rPr>
          <w:snapToGrid w:val="0"/>
          <w:szCs w:val="24"/>
        </w:rPr>
        <w:tab/>
        <w:t>Special events</w:t>
      </w:r>
      <w:r>
        <w:tab/>
      </w:r>
      <w:r>
        <w:fldChar w:fldCharType="begin"/>
      </w:r>
      <w:r>
        <w:instrText xml:space="preserve"> PAGEREF _Toc159746490 \h </w:instrText>
      </w:r>
      <w:r>
        <w:fldChar w:fldCharType="separate"/>
      </w:r>
      <w:r>
        <w:t>5</w:t>
      </w:r>
      <w:r>
        <w:fldChar w:fldCharType="end"/>
      </w:r>
    </w:p>
    <w:p>
      <w:pPr>
        <w:pStyle w:val="TOC8"/>
        <w:rPr>
          <w:sz w:val="24"/>
          <w:szCs w:val="24"/>
        </w:rPr>
      </w:pPr>
      <w:r>
        <w:rPr>
          <w:szCs w:val="24"/>
        </w:rPr>
        <w:t>7</w:t>
      </w:r>
      <w:r>
        <w:rPr>
          <w:snapToGrid w:val="0"/>
          <w:szCs w:val="24"/>
        </w:rPr>
        <w:t>.</w:t>
      </w:r>
      <w:r>
        <w:rPr>
          <w:snapToGrid w:val="0"/>
          <w:szCs w:val="24"/>
        </w:rPr>
        <w:tab/>
        <w:t>Provision of health care services by visiting health professionals authorized</w:t>
      </w:r>
      <w:r>
        <w:tab/>
      </w:r>
      <w:r>
        <w:fldChar w:fldCharType="begin"/>
      </w:r>
      <w:r>
        <w:instrText xml:space="preserve"> PAGEREF _Toc159746491 \h </w:instrText>
      </w:r>
      <w:r>
        <w:fldChar w:fldCharType="separate"/>
      </w:r>
      <w:r>
        <w:t>5</w:t>
      </w:r>
      <w:r>
        <w:fldChar w:fldCharType="end"/>
      </w:r>
    </w:p>
    <w:p>
      <w:pPr>
        <w:pStyle w:val="TOC8"/>
        <w:rPr>
          <w:sz w:val="24"/>
          <w:szCs w:val="24"/>
        </w:rPr>
      </w:pPr>
      <w:r>
        <w:rPr>
          <w:szCs w:val="24"/>
        </w:rPr>
        <w:t>8</w:t>
      </w:r>
      <w:r>
        <w:rPr>
          <w:snapToGrid w:val="0"/>
          <w:szCs w:val="24"/>
        </w:rPr>
        <w:t>.</w:t>
      </w:r>
      <w:r>
        <w:rPr>
          <w:snapToGrid w:val="0"/>
          <w:szCs w:val="24"/>
        </w:rPr>
        <w:tab/>
        <w:t>Conditions on practice by visiting health professionals</w:t>
      </w:r>
      <w:r>
        <w:tab/>
      </w:r>
      <w:r>
        <w:fldChar w:fldCharType="begin"/>
      </w:r>
      <w:r>
        <w:instrText xml:space="preserve"> PAGEREF _Toc159746492 \h </w:instrText>
      </w:r>
      <w:r>
        <w:fldChar w:fldCharType="separate"/>
      </w:r>
      <w:r>
        <w:t>6</w:t>
      </w:r>
      <w:r>
        <w:fldChar w:fldCharType="end"/>
      </w:r>
    </w:p>
    <w:p>
      <w:pPr>
        <w:pStyle w:val="TOC8"/>
        <w:rPr>
          <w:sz w:val="24"/>
          <w:szCs w:val="24"/>
        </w:rPr>
      </w:pPr>
      <w:r>
        <w:rPr>
          <w:szCs w:val="24"/>
        </w:rPr>
        <w:t>9</w:t>
      </w:r>
      <w:r>
        <w:rPr>
          <w:snapToGrid w:val="0"/>
          <w:szCs w:val="24"/>
        </w:rPr>
        <w:t>.</w:t>
      </w:r>
      <w:r>
        <w:rPr>
          <w:snapToGrid w:val="0"/>
          <w:szCs w:val="24"/>
        </w:rPr>
        <w:tab/>
        <w:t>Issue of prescriptions and supply of certain substances authorized</w:t>
      </w:r>
      <w:r>
        <w:tab/>
      </w:r>
      <w:r>
        <w:fldChar w:fldCharType="begin"/>
      </w:r>
      <w:r>
        <w:instrText xml:space="preserve"> PAGEREF _Toc159746493 \h </w:instrText>
      </w:r>
      <w:r>
        <w:fldChar w:fldCharType="separate"/>
      </w:r>
      <w:r>
        <w:t>7</w:t>
      </w:r>
      <w:r>
        <w:fldChar w:fldCharType="end"/>
      </w:r>
    </w:p>
    <w:p>
      <w:pPr>
        <w:pStyle w:val="TOC8"/>
        <w:rPr>
          <w:sz w:val="24"/>
          <w:szCs w:val="24"/>
        </w:rPr>
      </w:pPr>
      <w:r>
        <w:rPr>
          <w:szCs w:val="24"/>
        </w:rPr>
        <w:t>10</w:t>
      </w:r>
      <w:r>
        <w:rPr>
          <w:snapToGrid w:val="0"/>
          <w:szCs w:val="24"/>
        </w:rPr>
        <w:t>.</w:t>
      </w:r>
      <w:r>
        <w:rPr>
          <w:snapToGrid w:val="0"/>
          <w:szCs w:val="24"/>
        </w:rPr>
        <w:tab/>
        <w:t>Request for use of irradiating apparatus etc. authorized</w:t>
      </w:r>
      <w:r>
        <w:tab/>
      </w:r>
      <w:r>
        <w:fldChar w:fldCharType="begin"/>
      </w:r>
      <w:r>
        <w:instrText xml:space="preserve"> PAGEREF _Toc159746494 \h </w:instrText>
      </w:r>
      <w:r>
        <w:fldChar w:fldCharType="separate"/>
      </w:r>
      <w:r>
        <w:t>8</w:t>
      </w:r>
      <w:r>
        <w:fldChar w:fldCharType="end"/>
      </w:r>
    </w:p>
    <w:p>
      <w:pPr>
        <w:pStyle w:val="TOC8"/>
        <w:rPr>
          <w:sz w:val="24"/>
          <w:szCs w:val="24"/>
        </w:rPr>
      </w:pPr>
      <w:r>
        <w:rPr>
          <w:szCs w:val="24"/>
        </w:rPr>
        <w:t>11</w:t>
      </w:r>
      <w:r>
        <w:rPr>
          <w:snapToGrid w:val="0"/>
          <w:szCs w:val="24"/>
        </w:rPr>
        <w:t>.</w:t>
      </w:r>
      <w:r>
        <w:rPr>
          <w:snapToGrid w:val="0"/>
          <w:szCs w:val="24"/>
        </w:rPr>
        <w:tab/>
        <w:t>Exemptions</w:t>
      </w:r>
      <w:r>
        <w:tab/>
      </w:r>
      <w:r>
        <w:fldChar w:fldCharType="begin"/>
      </w:r>
      <w:r>
        <w:instrText xml:space="preserve"> PAGEREF _Toc159746495 \h </w:instrText>
      </w:r>
      <w:r>
        <w:fldChar w:fldCharType="separate"/>
      </w:r>
      <w:r>
        <w:t>8</w:t>
      </w:r>
      <w:r>
        <w:fldChar w:fldCharType="end"/>
      </w:r>
    </w:p>
    <w:p>
      <w:pPr>
        <w:pStyle w:val="TOC8"/>
        <w:rPr>
          <w:sz w:val="24"/>
          <w:szCs w:val="24"/>
        </w:rPr>
      </w:pPr>
      <w:r>
        <w:rPr>
          <w:szCs w:val="24"/>
        </w:rPr>
        <w:t>12</w:t>
      </w:r>
      <w:r>
        <w:rPr>
          <w:snapToGrid w:val="0"/>
          <w:szCs w:val="24"/>
        </w:rPr>
        <w:t>.</w:t>
      </w:r>
      <w:r>
        <w:rPr>
          <w:snapToGrid w:val="0"/>
          <w:szCs w:val="24"/>
        </w:rPr>
        <w:tab/>
        <w:t>Operation of authorizations</w:t>
      </w:r>
      <w:r>
        <w:tab/>
      </w:r>
      <w:r>
        <w:fldChar w:fldCharType="begin"/>
      </w:r>
      <w:r>
        <w:instrText xml:space="preserve"> PAGEREF _Toc159746496 \h </w:instrText>
      </w:r>
      <w:r>
        <w:fldChar w:fldCharType="separate"/>
      </w:r>
      <w:r>
        <w:t>10</w:t>
      </w:r>
      <w:r>
        <w:fldChar w:fldCharType="end"/>
      </w:r>
    </w:p>
    <w:p>
      <w:pPr>
        <w:pStyle w:val="TOC2"/>
        <w:tabs>
          <w:tab w:val="right" w:leader="dot" w:pos="7086"/>
        </w:tabs>
        <w:rPr>
          <w:b w:val="0"/>
          <w:sz w:val="24"/>
          <w:szCs w:val="24"/>
        </w:rPr>
      </w:pPr>
      <w:r>
        <w:rPr>
          <w:szCs w:val="30"/>
        </w:rPr>
        <w:t>Part 3 — Miscellaneous</w:t>
      </w:r>
    </w:p>
    <w:p>
      <w:pPr>
        <w:pStyle w:val="TOC8"/>
        <w:rPr>
          <w:sz w:val="24"/>
          <w:szCs w:val="24"/>
        </w:rPr>
      </w:pPr>
      <w:r>
        <w:rPr>
          <w:szCs w:val="24"/>
        </w:rPr>
        <w:t>13</w:t>
      </w:r>
      <w:r>
        <w:rPr>
          <w:snapToGrid w:val="0"/>
          <w:szCs w:val="24"/>
        </w:rPr>
        <w:t>.</w:t>
      </w:r>
      <w:r>
        <w:rPr>
          <w:snapToGrid w:val="0"/>
          <w:szCs w:val="24"/>
        </w:rPr>
        <w:tab/>
        <w:t>Complaints about visiting health professionals</w:t>
      </w:r>
      <w:r>
        <w:tab/>
      </w:r>
      <w:r>
        <w:fldChar w:fldCharType="begin"/>
      </w:r>
      <w:r>
        <w:instrText xml:space="preserve"> PAGEREF _Toc159746498 \h </w:instrText>
      </w:r>
      <w:r>
        <w:fldChar w:fldCharType="separate"/>
      </w:r>
      <w:r>
        <w:t>11</w:t>
      </w:r>
      <w:r>
        <w:fldChar w:fldCharType="end"/>
      </w:r>
    </w:p>
    <w:p>
      <w:pPr>
        <w:pStyle w:val="TOC8"/>
        <w:rPr>
          <w:sz w:val="24"/>
          <w:szCs w:val="24"/>
        </w:rPr>
      </w:pPr>
      <w:r>
        <w:rPr>
          <w:szCs w:val="24"/>
        </w:rPr>
        <w:t>14</w:t>
      </w:r>
      <w:r>
        <w:rPr>
          <w:snapToGrid w:val="0"/>
          <w:szCs w:val="24"/>
        </w:rPr>
        <w:t>.</w:t>
      </w:r>
      <w:r>
        <w:rPr>
          <w:snapToGrid w:val="0"/>
          <w:szCs w:val="24"/>
        </w:rPr>
        <w:tab/>
        <w:t>Application of Act to particular persons</w:t>
      </w:r>
      <w:r>
        <w:tab/>
      </w:r>
      <w:r>
        <w:fldChar w:fldCharType="begin"/>
      </w:r>
      <w:r>
        <w:instrText xml:space="preserve"> PAGEREF _Toc159746499 \h </w:instrText>
      </w:r>
      <w:r>
        <w:fldChar w:fldCharType="separate"/>
      </w:r>
      <w:r>
        <w:t>11</w:t>
      </w:r>
      <w:r>
        <w:fldChar w:fldCharType="end"/>
      </w:r>
    </w:p>
    <w:p>
      <w:pPr>
        <w:pStyle w:val="TOC8"/>
        <w:rPr>
          <w:sz w:val="24"/>
          <w:szCs w:val="24"/>
        </w:rPr>
      </w:pPr>
      <w:r>
        <w:rPr>
          <w:szCs w:val="24"/>
        </w:rPr>
        <w:t>15</w:t>
      </w:r>
      <w:r>
        <w:rPr>
          <w:snapToGrid w:val="0"/>
          <w:szCs w:val="24"/>
        </w:rPr>
        <w:t>.</w:t>
      </w:r>
      <w:r>
        <w:rPr>
          <w:snapToGrid w:val="0"/>
          <w:szCs w:val="24"/>
        </w:rPr>
        <w:tab/>
        <w:t>Act does not limit the practice of registered health professionals</w:t>
      </w:r>
      <w:r>
        <w:tab/>
      </w:r>
      <w:r>
        <w:fldChar w:fldCharType="begin"/>
      </w:r>
      <w:r>
        <w:instrText xml:space="preserve"> PAGEREF _Toc159746500 \h </w:instrText>
      </w:r>
      <w:r>
        <w:fldChar w:fldCharType="separate"/>
      </w:r>
      <w:r>
        <w:t>11</w:t>
      </w:r>
      <w:r>
        <w:fldChar w:fldCharType="end"/>
      </w:r>
    </w:p>
    <w:p>
      <w:pPr>
        <w:pStyle w:val="TOC8"/>
        <w:rPr>
          <w:sz w:val="24"/>
          <w:szCs w:val="24"/>
        </w:rPr>
      </w:pPr>
      <w:r>
        <w:rPr>
          <w:szCs w:val="24"/>
        </w:rPr>
        <w:t>16</w:t>
      </w:r>
      <w:r>
        <w:rPr>
          <w:snapToGrid w:val="0"/>
          <w:szCs w:val="24"/>
        </w:rPr>
        <w:t>.</w:t>
      </w:r>
      <w:r>
        <w:rPr>
          <w:snapToGrid w:val="0"/>
          <w:szCs w:val="24"/>
        </w:rPr>
        <w:tab/>
        <w:t>Regulations</w:t>
      </w:r>
      <w:r>
        <w:tab/>
      </w:r>
      <w:r>
        <w:fldChar w:fldCharType="begin"/>
      </w:r>
      <w:r>
        <w:instrText xml:space="preserve"> PAGEREF _Toc159746501 \h </w:instrText>
      </w:r>
      <w:r>
        <w:fldChar w:fldCharType="separate"/>
      </w:r>
      <w:r>
        <w:t>11</w:t>
      </w:r>
      <w:r>
        <w:fldChar w:fldCharType="end"/>
      </w:r>
    </w:p>
    <w:p>
      <w:pPr>
        <w:pStyle w:val="TOC8"/>
        <w:rPr>
          <w:sz w:val="24"/>
          <w:szCs w:val="24"/>
        </w:rPr>
      </w:pPr>
      <w:r>
        <w:rPr>
          <w:szCs w:val="24"/>
        </w:rPr>
        <w:lastRenderedPageBreak/>
        <w:t>17</w:t>
      </w:r>
      <w:r>
        <w:rPr>
          <w:snapToGrid w:val="0"/>
          <w:szCs w:val="24"/>
        </w:rPr>
        <w:t>.</w:t>
      </w:r>
      <w:r>
        <w:rPr>
          <w:snapToGrid w:val="0"/>
          <w:szCs w:val="24"/>
        </w:rPr>
        <w:tab/>
        <w:t>Review of Act</w:t>
      </w:r>
      <w:r>
        <w:tab/>
      </w:r>
      <w:r>
        <w:fldChar w:fldCharType="begin"/>
      </w:r>
      <w:r>
        <w:instrText xml:space="preserve"> PAGEREF _Toc159746502 \h </w:instrText>
      </w:r>
      <w:r>
        <w:fldChar w:fldCharType="separate"/>
      </w:r>
      <w:r>
        <w:t>11</w:t>
      </w:r>
      <w:r>
        <w:fldChar w:fldCharType="end"/>
      </w:r>
    </w:p>
    <w:p>
      <w:pPr>
        <w:pStyle w:val="TOC2"/>
        <w:tabs>
          <w:tab w:val="right" w:leader="dot" w:pos="708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_Toc159746504 \h </w:instrText>
      </w:r>
      <w:r>
        <w:fldChar w:fldCharType="separate"/>
      </w:r>
      <w:r>
        <w:t>13</w:t>
      </w:r>
      <w:r>
        <w:fldChar w:fldCharType="end"/>
      </w:r>
    </w:p>
    <w:p>
      <w:pPr>
        <w:pStyle w:val="TOC8"/>
        <w:rPr>
          <w:sz w:val="24"/>
        </w:rPr>
      </w:pPr>
      <w:r>
        <w:rPr>
          <w:snapToGrid w:val="0"/>
        </w:rPr>
        <w:tab/>
        <w:t>Provisions that have not come into operation</w:t>
      </w:r>
      <w:r>
        <w:tab/>
      </w:r>
      <w:r>
        <w:fldChar w:fldCharType="begin"/>
      </w:r>
      <w:r>
        <w:instrText xml:space="preserve"> PAGEREF _Toc159746505 \h </w:instrText>
      </w:r>
      <w:r>
        <w:fldChar w:fldCharType="separate"/>
      </w:r>
      <w:r>
        <w:t>13</w:t>
      </w:r>
      <w:r>
        <w:fldChar w:fldCharType="end"/>
      </w:r>
    </w:p>
    <w:p>
      <w:pPr>
        <w:pStyle w:val="TOC2"/>
      </w:pPr>
      <w:r>
        <w:fldChar w:fldCharType="end"/>
      </w:r>
    </w:p>
    <w:p>
      <w:pPr>
        <w:rPr>
          <w:sz w:val="28"/>
        </w:rP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suppressLineNumbers/>
      </w:pPr>
      <w:r>
        <w:t>Health Professionals (Special Events Exemption) Act 2000</w:t>
      </w:r>
    </w:p>
    <w:p>
      <w:pPr>
        <w:pStyle w:val="LongTitle"/>
        <w:suppressLineNumbers/>
        <w:rPr>
          <w:snapToGrid w:val="0"/>
        </w:rPr>
      </w:pPr>
      <w:bookmarkStart w:id="1" w:name="BillCited"/>
      <w:bookmarkEnd w:id="1"/>
      <w:r>
        <w:rPr>
          <w:snapToGrid w:val="0"/>
        </w:rPr>
        <w:t xml:space="preserve">An Act to allow visiting health professionals to provide health care services to visitors to the State in connection with special events, and for related purposes. </w:t>
      </w:r>
    </w:p>
    <w:p>
      <w:pPr>
        <w:pStyle w:val="Heading2"/>
      </w:pPr>
      <w:bookmarkStart w:id="2" w:name="_Toc122252401"/>
      <w:bookmarkStart w:id="3" w:name="_Toc122252489"/>
      <w:bookmarkStart w:id="4" w:name="_Toc122252515"/>
      <w:bookmarkStart w:id="5" w:name="_Toc122252598"/>
      <w:bookmarkStart w:id="6" w:name="_Toc122252621"/>
      <w:bookmarkStart w:id="7" w:name="_Toc122252724"/>
      <w:bookmarkStart w:id="8" w:name="_Toc122852205"/>
      <w:bookmarkStart w:id="9" w:name="_Toc122853537"/>
      <w:bookmarkStart w:id="10" w:name="_Toc122854043"/>
      <w:bookmarkStart w:id="11" w:name="_Toc122926399"/>
      <w:bookmarkStart w:id="12" w:name="_Toc122940318"/>
      <w:bookmarkStart w:id="13" w:name="_Toc135132384"/>
      <w:bookmarkStart w:id="14" w:name="_Toc159746483"/>
      <w:r>
        <w:rPr>
          <w:rStyle w:val="CharPartNo"/>
        </w:rPr>
        <w:t>Part 1</w:t>
      </w:r>
      <w:r>
        <w:t> — </w:t>
      </w:r>
      <w:r>
        <w:rPr>
          <w:rStyle w:val="CharPartText"/>
        </w:rPr>
        <w:t>Preliminary</w:t>
      </w:r>
      <w:bookmarkEnd w:id="2"/>
      <w:bookmarkEnd w:id="3"/>
      <w:bookmarkEnd w:id="4"/>
      <w:bookmarkEnd w:id="5"/>
      <w:bookmarkEnd w:id="6"/>
      <w:bookmarkEnd w:id="7"/>
      <w:bookmarkEnd w:id="8"/>
      <w:bookmarkEnd w:id="9"/>
      <w:bookmarkEnd w:id="10"/>
      <w:bookmarkEnd w:id="11"/>
      <w:bookmarkEnd w:id="12"/>
      <w:bookmarkEnd w:id="13"/>
      <w:bookmarkEnd w:id="14"/>
      <w:r>
        <w:rPr>
          <w:rStyle w:val="CharPartText"/>
        </w:rPr>
        <w:t xml:space="preserve"> </w:t>
      </w:r>
    </w:p>
    <w:p>
      <w:pPr>
        <w:pStyle w:val="Heading5"/>
        <w:rPr>
          <w:snapToGrid w:val="0"/>
        </w:rPr>
      </w:pPr>
      <w:bookmarkStart w:id="15" w:name="_Toc479743292"/>
      <w:bookmarkStart w:id="16" w:name="_Toc122252516"/>
      <w:bookmarkStart w:id="17" w:name="_Toc122252622"/>
      <w:bookmarkStart w:id="18" w:name="_Toc159746484"/>
      <w:r>
        <w:rPr>
          <w:rStyle w:val="CharSectno"/>
        </w:rPr>
        <w:t>1</w:t>
      </w:r>
      <w:r>
        <w:rPr>
          <w:snapToGrid w:val="0"/>
        </w:rPr>
        <w:t>.</w:t>
      </w:r>
      <w:r>
        <w:rPr>
          <w:snapToGrid w:val="0"/>
        </w:rPr>
        <w:tab/>
        <w:t>Short title</w:t>
      </w:r>
      <w:bookmarkEnd w:id="15"/>
      <w:bookmarkEnd w:id="16"/>
      <w:bookmarkEnd w:id="17"/>
      <w:bookmarkEnd w:id="18"/>
    </w:p>
    <w:p>
      <w:pPr>
        <w:pStyle w:val="Subsection"/>
        <w:rPr>
          <w:snapToGrid w:val="0"/>
        </w:rPr>
      </w:pPr>
      <w:r>
        <w:rPr>
          <w:snapToGrid w:val="0"/>
        </w:rPr>
        <w:tab/>
      </w:r>
      <w:r>
        <w:rPr>
          <w:snapToGrid w:val="0"/>
        </w:rPr>
        <w:tab/>
        <w:t>This Act may be cited as the</w:t>
      </w:r>
      <w:r>
        <w:rPr>
          <w:i/>
          <w:snapToGrid w:val="0"/>
        </w:rPr>
        <w:t xml:space="preserve"> Health Professionals (Special Events Exemption) Act 2000.</w:t>
      </w:r>
      <w:r>
        <w:rPr>
          <w:snapToGrid w:val="0"/>
        </w:rPr>
        <w:t xml:space="preserve"> </w:t>
      </w:r>
    </w:p>
    <w:p>
      <w:pPr>
        <w:pStyle w:val="Heading5"/>
        <w:rPr>
          <w:snapToGrid w:val="0"/>
        </w:rPr>
      </w:pPr>
      <w:bookmarkStart w:id="19" w:name="Start_Cursor"/>
      <w:bookmarkStart w:id="20" w:name="_Toc479743293"/>
      <w:bookmarkStart w:id="21" w:name="_Toc122252517"/>
      <w:bookmarkStart w:id="22" w:name="_Toc122252623"/>
      <w:bookmarkStart w:id="23" w:name="_Toc159746485"/>
      <w:bookmarkEnd w:id="19"/>
      <w:r>
        <w:rPr>
          <w:rStyle w:val="CharSectno"/>
        </w:rPr>
        <w:t>2</w:t>
      </w:r>
      <w:r>
        <w:rPr>
          <w:snapToGrid w:val="0"/>
        </w:rPr>
        <w:t>.</w:t>
      </w:r>
      <w:r>
        <w:rPr>
          <w:snapToGrid w:val="0"/>
        </w:rPr>
        <w:tab/>
        <w:t>Commencement</w:t>
      </w:r>
      <w:bookmarkEnd w:id="20"/>
      <w:bookmarkEnd w:id="21"/>
      <w:bookmarkEnd w:id="22"/>
      <w:bookmarkEnd w:id="23"/>
      <w:r>
        <w:rPr>
          <w:snapToGrid w:val="0"/>
        </w:rPr>
        <w:t xml:space="preserve"> </w:t>
      </w:r>
    </w:p>
    <w:p>
      <w:pPr>
        <w:pStyle w:val="Subsection"/>
        <w:rPr>
          <w:snapToGrid w:val="0"/>
        </w:rPr>
      </w:pPr>
      <w:r>
        <w:rPr>
          <w:snapToGrid w:val="0"/>
        </w:rPr>
        <w:tab/>
      </w:r>
      <w:r>
        <w:rPr>
          <w:snapToGrid w:val="0"/>
        </w:rPr>
        <w:tab/>
        <w:t>This Act comes into operation on the day on which it receives the Royal Assent.</w:t>
      </w:r>
    </w:p>
    <w:p>
      <w:pPr>
        <w:pStyle w:val="Heading5"/>
        <w:rPr>
          <w:snapToGrid w:val="0"/>
        </w:rPr>
      </w:pPr>
      <w:bookmarkStart w:id="24" w:name="_Toc479743294"/>
      <w:bookmarkStart w:id="25" w:name="_Toc122252518"/>
      <w:bookmarkStart w:id="26" w:name="_Toc122252624"/>
      <w:bookmarkStart w:id="27" w:name="_Toc159746486"/>
      <w:r>
        <w:rPr>
          <w:rStyle w:val="CharSectno"/>
        </w:rPr>
        <w:t>3</w:t>
      </w:r>
      <w:r>
        <w:rPr>
          <w:snapToGrid w:val="0"/>
        </w:rPr>
        <w:t>.</w:t>
      </w:r>
      <w:r>
        <w:rPr>
          <w:snapToGrid w:val="0"/>
        </w:rPr>
        <w:tab/>
        <w:t>Interpretation</w:t>
      </w:r>
      <w:bookmarkEnd w:id="24"/>
      <w:bookmarkEnd w:id="25"/>
      <w:bookmarkEnd w:id="26"/>
      <w:bookmarkEnd w:id="27"/>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t>“</w:t>
      </w:r>
      <w:r>
        <w:rPr>
          <w:rStyle w:val="CharDefText"/>
        </w:rPr>
        <w:t>drug of addiction</w:t>
      </w:r>
      <w:r>
        <w:rPr>
          <w:b/>
        </w:rPr>
        <w:t>”</w:t>
      </w:r>
      <w:r>
        <w:t xml:space="preserve"> means a substance included in Schedule 8 in Appendix A to the </w:t>
      </w:r>
      <w:r>
        <w:rPr>
          <w:i/>
        </w:rPr>
        <w:t>Poisons Act 1964</w:t>
      </w:r>
      <w:r>
        <w:t>;</w:t>
      </w:r>
    </w:p>
    <w:p>
      <w:pPr>
        <w:pStyle w:val="Defstart"/>
      </w:pPr>
      <w:r>
        <w:rPr>
          <w:b/>
        </w:rPr>
        <w:tab/>
        <w:t>“</w:t>
      </w:r>
      <w:r>
        <w:rPr>
          <w:rStyle w:val="CharDefText"/>
        </w:rPr>
        <w:t>exemption period</w:t>
      </w:r>
      <w:r>
        <w:rPr>
          <w:b/>
        </w:rPr>
        <w:t>”</w:t>
      </w:r>
      <w:r>
        <w:t>, in relation to a special event, means the period or periods specified in an order under section 6 that applies to the event;</w:t>
      </w:r>
    </w:p>
    <w:p>
      <w:pPr>
        <w:pStyle w:val="Defstart"/>
      </w:pPr>
      <w:r>
        <w:rPr>
          <w:b/>
        </w:rPr>
        <w:tab/>
        <w:t>“</w:t>
      </w:r>
      <w:r>
        <w:rPr>
          <w:rStyle w:val="CharDefText"/>
        </w:rPr>
        <w:t>health care services</w:t>
      </w:r>
      <w:r>
        <w:rPr>
          <w:b/>
        </w:rPr>
        <w:t>”</w:t>
      </w:r>
      <w:r>
        <w:t xml:space="preserve"> means — </w:t>
      </w:r>
    </w:p>
    <w:p>
      <w:pPr>
        <w:pStyle w:val="Defpara"/>
        <w:ind w:hanging="759"/>
      </w:pPr>
      <w:r>
        <w:tab/>
        <w:t>(a)</w:t>
      </w:r>
      <w:r>
        <w:tab/>
        <w:t>services ordinarily provided by chiropractors, dental hygienists, dental therapists, dental prosthetists, dentists, medical practitioners, nurses, occupational therapists, optometrists, osteopaths, pharmacists, physiotherapists, podiatrists and psychologists; and</w:t>
      </w:r>
    </w:p>
    <w:p>
      <w:pPr>
        <w:pStyle w:val="Defpara"/>
      </w:pPr>
      <w:r>
        <w:tab/>
        <w:t>(b)</w:t>
      </w:r>
      <w:r>
        <w:tab/>
        <w:t>any other prescribed health care service;</w:t>
      </w:r>
    </w:p>
    <w:p>
      <w:pPr>
        <w:pStyle w:val="Defstart"/>
      </w:pPr>
      <w:r>
        <w:rPr>
          <w:b/>
        </w:rPr>
        <w:tab/>
        <w:t>“</w:t>
      </w:r>
      <w:r>
        <w:rPr>
          <w:rStyle w:val="CharDefText"/>
        </w:rPr>
        <w:t>Health Registration Act</w:t>
      </w:r>
      <w:r>
        <w:rPr>
          <w:b/>
        </w:rPr>
        <w:t>”</w:t>
      </w:r>
      <w:r>
        <w:t xml:space="preserve"> means any of the following Acts — </w:t>
      </w:r>
    </w:p>
    <w:p>
      <w:pPr>
        <w:pStyle w:val="Defpara"/>
        <w:ind w:hanging="759"/>
        <w:rPr>
          <w:i/>
        </w:rPr>
      </w:pPr>
      <w:r>
        <w:rPr>
          <w:i/>
        </w:rPr>
        <w:tab/>
      </w:r>
      <w:r>
        <w:rPr>
          <w:i/>
        </w:rPr>
        <w:tab/>
        <w:t>Chiropractors Act 1964;</w:t>
      </w:r>
    </w:p>
    <w:p>
      <w:pPr>
        <w:pStyle w:val="Defpara"/>
        <w:ind w:hanging="759"/>
        <w:rPr>
          <w:i/>
        </w:rPr>
      </w:pPr>
      <w:r>
        <w:rPr>
          <w:i/>
        </w:rPr>
        <w:tab/>
      </w:r>
      <w:r>
        <w:rPr>
          <w:i/>
        </w:rPr>
        <w:tab/>
        <w:t>Dental Act 1939;</w:t>
      </w:r>
    </w:p>
    <w:p>
      <w:pPr>
        <w:pStyle w:val="Defpara"/>
        <w:ind w:hanging="759"/>
        <w:rPr>
          <w:i/>
          <w:iCs/>
        </w:rPr>
      </w:pPr>
      <w:r>
        <w:rPr>
          <w:i/>
          <w:iCs/>
        </w:rPr>
        <w:tab/>
      </w:r>
      <w:r>
        <w:rPr>
          <w:i/>
          <w:iCs/>
        </w:rPr>
        <w:tab/>
        <w:t>Dental Prosthetists Act 1985;</w:t>
      </w:r>
    </w:p>
    <w:p>
      <w:pPr>
        <w:pStyle w:val="Defpara"/>
        <w:ind w:hanging="759"/>
        <w:rPr>
          <w:i/>
          <w:iCs/>
        </w:rPr>
      </w:pPr>
      <w:r>
        <w:rPr>
          <w:i/>
          <w:iCs/>
        </w:rPr>
        <w:tab/>
      </w:r>
      <w:r>
        <w:rPr>
          <w:i/>
          <w:iCs/>
        </w:rPr>
        <w:tab/>
        <w:t>Medical Act 1894;</w:t>
      </w:r>
    </w:p>
    <w:p>
      <w:pPr>
        <w:pStyle w:val="Defpara"/>
        <w:ind w:hanging="759"/>
        <w:rPr>
          <w:i/>
          <w:iCs/>
        </w:rPr>
      </w:pPr>
      <w:r>
        <w:rPr>
          <w:i/>
          <w:iCs/>
        </w:rPr>
        <w:tab/>
      </w:r>
      <w:r>
        <w:rPr>
          <w:i/>
          <w:iCs/>
        </w:rPr>
        <w:tab/>
        <w:t>Nurses Act 1992;</w:t>
      </w:r>
    </w:p>
    <w:p>
      <w:pPr>
        <w:pStyle w:val="Defpara"/>
        <w:ind w:hanging="759"/>
        <w:rPr>
          <w:i/>
          <w:iCs/>
        </w:rPr>
      </w:pPr>
      <w:r>
        <w:rPr>
          <w:i/>
          <w:iCs/>
        </w:rPr>
        <w:tab/>
      </w:r>
      <w:r>
        <w:rPr>
          <w:i/>
          <w:iCs/>
        </w:rPr>
        <w:tab/>
        <w:t>Occupational Therapists Registration Act 1980;</w:t>
      </w:r>
    </w:p>
    <w:p>
      <w:pPr>
        <w:pStyle w:val="Defpara"/>
        <w:ind w:hanging="759"/>
        <w:rPr>
          <w:i/>
          <w:iCs/>
        </w:rPr>
      </w:pPr>
      <w:r>
        <w:rPr>
          <w:i/>
          <w:iCs/>
        </w:rPr>
        <w:tab/>
      </w:r>
      <w:r>
        <w:rPr>
          <w:i/>
          <w:iCs/>
        </w:rPr>
        <w:tab/>
        <w:t>Optometrists Act 1940;</w:t>
      </w:r>
    </w:p>
    <w:p>
      <w:pPr>
        <w:pStyle w:val="Defpara"/>
        <w:ind w:hanging="759"/>
        <w:rPr>
          <w:i/>
          <w:iCs/>
        </w:rPr>
      </w:pPr>
      <w:r>
        <w:rPr>
          <w:i/>
          <w:iCs/>
        </w:rPr>
        <w:tab/>
      </w:r>
      <w:r>
        <w:rPr>
          <w:i/>
          <w:iCs/>
        </w:rPr>
        <w:tab/>
        <w:t xml:space="preserve">Osteopaths Act 1997; </w:t>
      </w:r>
    </w:p>
    <w:p>
      <w:pPr>
        <w:pStyle w:val="Defpara"/>
        <w:ind w:hanging="759"/>
        <w:rPr>
          <w:i/>
          <w:iCs/>
        </w:rPr>
      </w:pPr>
      <w:r>
        <w:rPr>
          <w:i/>
          <w:iCs/>
        </w:rPr>
        <w:tab/>
      </w:r>
      <w:r>
        <w:rPr>
          <w:i/>
          <w:iCs/>
        </w:rPr>
        <w:tab/>
        <w:t>Pharmacy Act 1964;</w:t>
      </w:r>
    </w:p>
    <w:p>
      <w:pPr>
        <w:pStyle w:val="Defpara"/>
        <w:ind w:hanging="759"/>
        <w:rPr>
          <w:i/>
          <w:iCs/>
        </w:rPr>
      </w:pPr>
      <w:r>
        <w:rPr>
          <w:i/>
          <w:iCs/>
        </w:rPr>
        <w:tab/>
      </w:r>
      <w:r>
        <w:rPr>
          <w:i/>
          <w:iCs/>
        </w:rPr>
        <w:tab/>
      </w:r>
      <w:r>
        <w:rPr>
          <w:i/>
        </w:rPr>
        <w:t>Physiotherapists Act 2005</w:t>
      </w:r>
      <w:r>
        <w:t>;</w:t>
      </w:r>
    </w:p>
    <w:p>
      <w:pPr>
        <w:pStyle w:val="Defpara"/>
        <w:ind w:hanging="759"/>
        <w:rPr>
          <w:i/>
          <w:iCs/>
        </w:rPr>
      </w:pPr>
      <w:r>
        <w:rPr>
          <w:i/>
          <w:iCs/>
        </w:rPr>
        <w:tab/>
      </w:r>
      <w:r>
        <w:rPr>
          <w:i/>
          <w:iCs/>
        </w:rPr>
        <w:tab/>
        <w:t>Podiatrists Registration Act 1984;</w:t>
      </w:r>
    </w:p>
    <w:p>
      <w:pPr>
        <w:pStyle w:val="Defpara"/>
        <w:ind w:hanging="759"/>
        <w:rPr>
          <w:i/>
          <w:iCs/>
        </w:rPr>
      </w:pPr>
      <w:r>
        <w:rPr>
          <w:i/>
          <w:iCs/>
        </w:rPr>
        <w:tab/>
      </w:r>
      <w:r>
        <w:rPr>
          <w:i/>
          <w:iCs/>
        </w:rPr>
        <w:tab/>
        <w:t>Psychologists Registration Act 1976;</w:t>
      </w:r>
    </w:p>
    <w:p>
      <w:pPr>
        <w:pStyle w:val="Defstart"/>
      </w:pPr>
      <w:r>
        <w:rPr>
          <w:b/>
        </w:rPr>
        <w:tab/>
        <w:t>“</w:t>
      </w:r>
      <w:r>
        <w:rPr>
          <w:rStyle w:val="CharDefText"/>
        </w:rPr>
        <w:t>prepare</w:t>
      </w:r>
      <w:r>
        <w:rPr>
          <w:b/>
        </w:rPr>
        <w:t>”</w:t>
      </w:r>
      <w:r>
        <w:t xml:space="preserve"> includes train, practise, rehearse and acclimatize;</w:t>
      </w:r>
    </w:p>
    <w:p>
      <w:pPr>
        <w:pStyle w:val="Defstart"/>
      </w:pPr>
      <w:r>
        <w:rPr>
          <w:b/>
        </w:rPr>
        <w:tab/>
        <w:t>“</w:t>
      </w:r>
      <w:r>
        <w:rPr>
          <w:rStyle w:val="CharDefText"/>
        </w:rPr>
        <w:t>registered</w:t>
      </w:r>
      <w:r>
        <w:rPr>
          <w:b/>
        </w:rPr>
        <w:t>”</w:t>
      </w:r>
      <w:r>
        <w:t xml:space="preserve"> means registered, licensed or enrolled under a Health Registration Act, or deemed to be so registered, licensed or enrolled;</w:t>
      </w:r>
    </w:p>
    <w:p>
      <w:pPr>
        <w:pStyle w:val="Defstart"/>
      </w:pPr>
      <w:r>
        <w:rPr>
          <w:b/>
        </w:rPr>
        <w:tab/>
        <w:t>“</w:t>
      </w:r>
      <w:r>
        <w:rPr>
          <w:rStyle w:val="CharDefText"/>
        </w:rPr>
        <w:t>restricted substance</w:t>
      </w:r>
      <w:r>
        <w:rPr>
          <w:b/>
        </w:rPr>
        <w:t>”</w:t>
      </w:r>
      <w:r>
        <w:t xml:space="preserve"> means a substance included in Schedule 4 in Appendix A to the </w:t>
      </w:r>
      <w:r>
        <w:rPr>
          <w:i/>
        </w:rPr>
        <w:t>Poisons Act 1964</w:t>
      </w:r>
      <w:r>
        <w:t>;</w:t>
      </w:r>
    </w:p>
    <w:p>
      <w:pPr>
        <w:pStyle w:val="Defstart"/>
      </w:pPr>
      <w:r>
        <w:rPr>
          <w:b/>
        </w:rPr>
        <w:tab/>
        <w:t>“</w:t>
      </w:r>
      <w:r>
        <w:rPr>
          <w:rStyle w:val="CharDefText"/>
        </w:rPr>
        <w:t>special event</w:t>
      </w:r>
      <w:r>
        <w:rPr>
          <w:b/>
        </w:rPr>
        <w:t>”</w:t>
      </w:r>
      <w:r>
        <w:t xml:space="preserve"> means an event, or class of event, that is declared to be a special event by order under section 6;</w:t>
      </w:r>
    </w:p>
    <w:p>
      <w:pPr>
        <w:pStyle w:val="Defstart"/>
      </w:pPr>
      <w:r>
        <w:rPr>
          <w:b/>
        </w:rPr>
        <w:tab/>
        <w:t>“</w:t>
      </w:r>
      <w:r>
        <w:rPr>
          <w:rStyle w:val="CharDefText"/>
        </w:rPr>
        <w:t>substance</w:t>
      </w:r>
      <w:r>
        <w:rPr>
          <w:b/>
        </w:rPr>
        <w:t>”</w:t>
      </w:r>
      <w:r>
        <w:t xml:space="preserve"> has the meaning given by the </w:t>
      </w:r>
      <w:r>
        <w:rPr>
          <w:i/>
        </w:rPr>
        <w:t>Poisons Act 1964</w:t>
      </w:r>
      <w:r>
        <w:t>;</w:t>
      </w:r>
    </w:p>
    <w:p>
      <w:pPr>
        <w:pStyle w:val="Defstart"/>
      </w:pPr>
      <w:r>
        <w:rPr>
          <w:b/>
        </w:rPr>
        <w:tab/>
        <w:t>“</w:t>
      </w:r>
      <w:r>
        <w:rPr>
          <w:rStyle w:val="CharDefText"/>
        </w:rPr>
        <w:t>visiting health professional</w:t>
      </w:r>
      <w:r>
        <w:rPr>
          <w:b/>
        </w:rPr>
        <w:t>”</w:t>
      </w:r>
      <w:r>
        <w:t xml:space="preserve"> has the meaning given by section 5;</w:t>
      </w:r>
    </w:p>
    <w:p>
      <w:pPr>
        <w:pStyle w:val="Defstart"/>
      </w:pPr>
      <w:r>
        <w:rPr>
          <w:b/>
        </w:rPr>
        <w:tab/>
        <w:t>“</w:t>
      </w:r>
      <w:r>
        <w:rPr>
          <w:rStyle w:val="CharDefText"/>
        </w:rPr>
        <w:t>visitor</w:t>
      </w:r>
      <w:r>
        <w:rPr>
          <w:b/>
        </w:rPr>
        <w:t>”</w:t>
      </w:r>
      <w:r>
        <w:t xml:space="preserve"> has the meaning given by section 4.</w:t>
      </w:r>
    </w:p>
    <w:p>
      <w:pPr>
        <w:pStyle w:val="Subsection"/>
        <w:rPr>
          <w:snapToGrid w:val="0"/>
        </w:rPr>
      </w:pPr>
      <w:r>
        <w:rPr>
          <w:snapToGrid w:val="0"/>
        </w:rPr>
        <w:tab/>
        <w:t>(2)</w:t>
      </w:r>
      <w:r>
        <w:rPr>
          <w:snapToGrid w:val="0"/>
        </w:rPr>
        <w:tab/>
        <w:t xml:space="preserve">An order made under this Act is subsidiary legislation within the meaning of the </w:t>
      </w:r>
      <w:r>
        <w:rPr>
          <w:i/>
          <w:snapToGrid w:val="0"/>
        </w:rPr>
        <w:t>Interpretation Act 1984</w:t>
      </w:r>
      <w:r>
        <w:rPr>
          <w:snapToGrid w:val="0"/>
        </w:rPr>
        <w:t>.</w:t>
      </w:r>
    </w:p>
    <w:p>
      <w:pPr>
        <w:pStyle w:val="Footnotesection"/>
      </w:pPr>
      <w:r>
        <w:tab/>
        <w:t>[Section 3 amended by No. 11 of 2006 s. 4; No. 32 of 2005 s. 109.]</w:t>
      </w:r>
    </w:p>
    <w:p>
      <w:pPr>
        <w:pStyle w:val="Heading5"/>
        <w:rPr>
          <w:snapToGrid w:val="0"/>
        </w:rPr>
      </w:pPr>
      <w:bookmarkStart w:id="28" w:name="_Toc479743295"/>
      <w:bookmarkStart w:id="29" w:name="_Toc122252519"/>
      <w:bookmarkStart w:id="30" w:name="_Toc122252625"/>
      <w:bookmarkStart w:id="31" w:name="_Toc159746487"/>
      <w:r>
        <w:rPr>
          <w:rStyle w:val="CharSectno"/>
        </w:rPr>
        <w:t>4</w:t>
      </w:r>
      <w:r>
        <w:rPr>
          <w:snapToGrid w:val="0"/>
        </w:rPr>
        <w:t>.</w:t>
      </w:r>
      <w:r>
        <w:rPr>
          <w:snapToGrid w:val="0"/>
        </w:rPr>
        <w:tab/>
        <w:t>Definition of “visitor”</w:t>
      </w:r>
      <w:bookmarkEnd w:id="28"/>
      <w:bookmarkEnd w:id="29"/>
      <w:bookmarkEnd w:id="30"/>
      <w:bookmarkEnd w:id="31"/>
      <w:r>
        <w:rPr>
          <w:snapToGrid w:val="0"/>
        </w:rPr>
        <w:t xml:space="preserve"> </w:t>
      </w:r>
    </w:p>
    <w:p>
      <w:pPr>
        <w:pStyle w:val="Subsection"/>
        <w:rPr>
          <w:snapToGrid w:val="0"/>
        </w:rPr>
      </w:pPr>
      <w:r>
        <w:rPr>
          <w:snapToGrid w:val="0"/>
        </w:rPr>
        <w:tab/>
      </w:r>
      <w:r>
        <w:rPr>
          <w:snapToGrid w:val="0"/>
        </w:rPr>
        <w:tab/>
        <w:t xml:space="preserve">A person is a </w:t>
      </w:r>
      <w:r>
        <w:rPr>
          <w:b/>
          <w:snapToGrid w:val="0"/>
        </w:rPr>
        <w:t>“visitor”</w:t>
      </w:r>
      <w:r>
        <w:rPr>
          <w:snapToGrid w:val="0"/>
        </w:rPr>
        <w:t xml:space="preserve"> for the purposes of this Act if — </w:t>
      </w:r>
    </w:p>
    <w:p>
      <w:pPr>
        <w:pStyle w:val="Indenta"/>
        <w:rPr>
          <w:snapToGrid w:val="0"/>
        </w:rPr>
      </w:pPr>
      <w:r>
        <w:rPr>
          <w:snapToGrid w:val="0"/>
        </w:rPr>
        <w:tab/>
        <w:t>(a)</w:t>
      </w:r>
      <w:r>
        <w:rPr>
          <w:snapToGrid w:val="0"/>
        </w:rPr>
        <w:tab/>
        <w:t>the person is a resident of another country who is in the State for the purpose of — </w:t>
      </w:r>
    </w:p>
    <w:p>
      <w:pPr>
        <w:pStyle w:val="Indenti"/>
        <w:rPr>
          <w:snapToGrid w:val="0"/>
        </w:rPr>
      </w:pPr>
      <w:r>
        <w:rPr>
          <w:snapToGrid w:val="0"/>
        </w:rPr>
        <w:tab/>
        <w:t>(i)</w:t>
      </w:r>
      <w:r>
        <w:rPr>
          <w:snapToGrid w:val="0"/>
        </w:rPr>
        <w:tab/>
        <w:t>officially participating in a special event; or</w:t>
      </w:r>
    </w:p>
    <w:p>
      <w:pPr>
        <w:pStyle w:val="Indenti"/>
        <w:rPr>
          <w:snapToGrid w:val="0"/>
        </w:rPr>
      </w:pPr>
      <w:r>
        <w:rPr>
          <w:snapToGrid w:val="0"/>
        </w:rPr>
        <w:tab/>
        <w:t>(ii)</w:t>
      </w:r>
      <w:r>
        <w:rPr>
          <w:snapToGrid w:val="0"/>
        </w:rPr>
        <w:tab/>
        <w:t xml:space="preserve">preparing for official participation in a special event; </w:t>
      </w:r>
    </w:p>
    <w:p>
      <w:pPr>
        <w:pStyle w:val="Indenta"/>
        <w:rPr>
          <w:snapToGrid w:val="0"/>
        </w:rPr>
      </w:pPr>
      <w:r>
        <w:rPr>
          <w:snapToGrid w:val="0"/>
        </w:rPr>
        <w:tab/>
        <w:t>(b)</w:t>
      </w:r>
      <w:r>
        <w:rPr>
          <w:snapToGrid w:val="0"/>
        </w:rPr>
        <w:tab/>
        <w:t>the person is a resident of another country who is appointed, employed, contracted or otherwise engaged to manage, train or otherwise assist a person referred to in paragraph (a) and is in the State for that purpose; or</w:t>
      </w:r>
    </w:p>
    <w:p>
      <w:pPr>
        <w:pStyle w:val="Indenta"/>
        <w:rPr>
          <w:snapToGrid w:val="0"/>
        </w:rPr>
      </w:pPr>
      <w:r>
        <w:rPr>
          <w:snapToGrid w:val="0"/>
        </w:rPr>
        <w:tab/>
        <w:t>(c)</w:t>
      </w:r>
      <w:r>
        <w:rPr>
          <w:snapToGrid w:val="0"/>
        </w:rPr>
        <w:tab/>
        <w:t>the person is a resident of Australia who is in the State for a purpose referred to in paragraph (a) or (b) and is a member of a group the majority of members of which are persons referred to in paragraph (a) or (b) who are in the State for the same purpose.</w:t>
      </w:r>
    </w:p>
    <w:p>
      <w:pPr>
        <w:pStyle w:val="Heading5"/>
        <w:rPr>
          <w:snapToGrid w:val="0"/>
        </w:rPr>
      </w:pPr>
      <w:bookmarkStart w:id="32" w:name="_Toc479743296"/>
      <w:bookmarkStart w:id="33" w:name="_Toc122252520"/>
      <w:bookmarkStart w:id="34" w:name="_Toc122252626"/>
      <w:bookmarkStart w:id="35" w:name="_Toc159746488"/>
      <w:r>
        <w:rPr>
          <w:rStyle w:val="CharSectno"/>
        </w:rPr>
        <w:t>5</w:t>
      </w:r>
      <w:r>
        <w:rPr>
          <w:snapToGrid w:val="0"/>
        </w:rPr>
        <w:t>.</w:t>
      </w:r>
      <w:r>
        <w:rPr>
          <w:snapToGrid w:val="0"/>
        </w:rPr>
        <w:tab/>
        <w:t>Definition of “visiting health professional”</w:t>
      </w:r>
      <w:bookmarkEnd w:id="32"/>
      <w:bookmarkEnd w:id="33"/>
      <w:bookmarkEnd w:id="34"/>
      <w:bookmarkEnd w:id="35"/>
      <w:r>
        <w:rPr>
          <w:snapToGrid w:val="0"/>
        </w:rPr>
        <w:t xml:space="preserve"> </w:t>
      </w:r>
    </w:p>
    <w:p>
      <w:pPr>
        <w:pStyle w:val="Subsection"/>
        <w:rPr>
          <w:snapToGrid w:val="0"/>
        </w:rPr>
      </w:pPr>
      <w:r>
        <w:rPr>
          <w:snapToGrid w:val="0"/>
        </w:rPr>
        <w:tab/>
      </w:r>
      <w:r>
        <w:rPr>
          <w:snapToGrid w:val="0"/>
        </w:rPr>
        <w:tab/>
        <w:t xml:space="preserve">A person is a </w:t>
      </w:r>
      <w:r>
        <w:rPr>
          <w:b/>
          <w:snapToGrid w:val="0"/>
        </w:rPr>
        <w:t>“visiting health professional”</w:t>
      </w:r>
      <w:r>
        <w:rPr>
          <w:snapToGrid w:val="0"/>
        </w:rPr>
        <w:t xml:space="preserve"> for the purposes of this Act if — </w:t>
      </w:r>
    </w:p>
    <w:p>
      <w:pPr>
        <w:pStyle w:val="Indenta"/>
        <w:rPr>
          <w:snapToGrid w:val="0"/>
        </w:rPr>
      </w:pPr>
      <w:r>
        <w:rPr>
          <w:snapToGrid w:val="0"/>
        </w:rPr>
        <w:tab/>
        <w:t>(a)</w:t>
      </w:r>
      <w:r>
        <w:rPr>
          <w:snapToGrid w:val="0"/>
        </w:rPr>
        <w:tab/>
        <w:t>the person is an individual who is a resident of another country;</w:t>
      </w:r>
    </w:p>
    <w:p>
      <w:pPr>
        <w:pStyle w:val="Indenta"/>
        <w:rPr>
          <w:snapToGrid w:val="0"/>
        </w:rPr>
      </w:pPr>
      <w:r>
        <w:rPr>
          <w:snapToGrid w:val="0"/>
        </w:rPr>
        <w:tab/>
        <w:t>(b)</w:t>
      </w:r>
      <w:r>
        <w:rPr>
          <w:snapToGrid w:val="0"/>
        </w:rPr>
        <w:tab/>
        <w:t>the person is appointed, employed, contracted or otherwise engaged to provide health care services to a visitor;</w:t>
      </w:r>
    </w:p>
    <w:p>
      <w:pPr>
        <w:pStyle w:val="Indenta"/>
        <w:rPr>
          <w:snapToGrid w:val="0"/>
        </w:rPr>
      </w:pPr>
      <w:r>
        <w:rPr>
          <w:snapToGrid w:val="0"/>
        </w:rPr>
        <w:tab/>
        <w:t>(c)</w:t>
      </w:r>
      <w:r>
        <w:rPr>
          <w:snapToGrid w:val="0"/>
        </w:rPr>
        <w:tab/>
      </w:r>
      <w:r>
        <w:t>the person is not registered;</w:t>
      </w:r>
      <w:r>
        <w:rPr>
          <w:snapToGrid w:val="0"/>
        </w:rPr>
        <w:t xml:space="preserve"> and</w:t>
      </w:r>
    </w:p>
    <w:p>
      <w:pPr>
        <w:pStyle w:val="Indenta"/>
        <w:rPr>
          <w:snapToGrid w:val="0"/>
        </w:rPr>
      </w:pPr>
      <w:r>
        <w:rPr>
          <w:snapToGrid w:val="0"/>
        </w:rPr>
        <w:tab/>
        <w:t>(d)</w:t>
      </w:r>
      <w:r>
        <w:rPr>
          <w:snapToGrid w:val="0"/>
        </w:rPr>
        <w:tab/>
        <w:t>notice is given of the person’s intention to provide health care services in the State to a visitor in accordance with the procedure specified in the order under section 6 declaring the special event.</w:t>
      </w:r>
    </w:p>
    <w:p>
      <w:pPr>
        <w:pStyle w:val="Heading2"/>
      </w:pPr>
      <w:bookmarkStart w:id="36" w:name="_Toc122252407"/>
      <w:bookmarkStart w:id="37" w:name="_Toc122252495"/>
      <w:bookmarkStart w:id="38" w:name="_Toc122252521"/>
      <w:bookmarkStart w:id="39" w:name="_Toc122252604"/>
      <w:bookmarkStart w:id="40" w:name="_Toc122252627"/>
      <w:bookmarkStart w:id="41" w:name="_Toc122252730"/>
      <w:bookmarkStart w:id="42" w:name="_Toc122852211"/>
      <w:bookmarkStart w:id="43" w:name="_Toc122853543"/>
      <w:bookmarkStart w:id="44" w:name="_Toc122854049"/>
      <w:bookmarkStart w:id="45" w:name="_Toc122926405"/>
      <w:bookmarkStart w:id="46" w:name="_Toc122940324"/>
      <w:bookmarkStart w:id="47" w:name="_Toc135132390"/>
      <w:bookmarkStart w:id="48" w:name="_Toc159746489"/>
      <w:r>
        <w:rPr>
          <w:rStyle w:val="CharPartNo"/>
        </w:rPr>
        <w:t>Part 2</w:t>
      </w:r>
      <w:r>
        <w:rPr>
          <w:rStyle w:val="CharDivNo"/>
        </w:rPr>
        <w:t> </w:t>
      </w:r>
      <w:r>
        <w:t>—</w:t>
      </w:r>
      <w:r>
        <w:rPr>
          <w:rStyle w:val="CharDivText"/>
        </w:rPr>
        <w:t> </w:t>
      </w:r>
      <w:r>
        <w:rPr>
          <w:rStyle w:val="CharPartText"/>
        </w:rPr>
        <w:t>Special events exemptions</w:t>
      </w:r>
      <w:bookmarkEnd w:id="36"/>
      <w:bookmarkEnd w:id="37"/>
      <w:bookmarkEnd w:id="38"/>
      <w:bookmarkEnd w:id="39"/>
      <w:bookmarkEnd w:id="40"/>
      <w:bookmarkEnd w:id="41"/>
      <w:bookmarkEnd w:id="42"/>
      <w:bookmarkEnd w:id="43"/>
      <w:bookmarkEnd w:id="44"/>
      <w:bookmarkEnd w:id="45"/>
      <w:bookmarkEnd w:id="46"/>
      <w:bookmarkEnd w:id="47"/>
      <w:bookmarkEnd w:id="48"/>
      <w:r>
        <w:rPr>
          <w:rStyle w:val="CharPartText"/>
        </w:rPr>
        <w:t xml:space="preserve"> </w:t>
      </w:r>
    </w:p>
    <w:p>
      <w:pPr>
        <w:pStyle w:val="Heading5"/>
        <w:rPr>
          <w:snapToGrid w:val="0"/>
        </w:rPr>
      </w:pPr>
      <w:bookmarkStart w:id="49" w:name="_Toc479743297"/>
      <w:bookmarkStart w:id="50" w:name="_Toc122252522"/>
      <w:bookmarkStart w:id="51" w:name="_Toc122252628"/>
      <w:bookmarkStart w:id="52" w:name="_Toc159746490"/>
      <w:r>
        <w:rPr>
          <w:rStyle w:val="CharSectno"/>
        </w:rPr>
        <w:t>6</w:t>
      </w:r>
      <w:r>
        <w:rPr>
          <w:snapToGrid w:val="0"/>
        </w:rPr>
        <w:t>.</w:t>
      </w:r>
      <w:r>
        <w:rPr>
          <w:snapToGrid w:val="0"/>
        </w:rPr>
        <w:tab/>
        <w:t>Special events</w:t>
      </w:r>
      <w:bookmarkEnd w:id="49"/>
      <w:bookmarkEnd w:id="50"/>
      <w:bookmarkEnd w:id="51"/>
      <w:bookmarkEnd w:id="52"/>
      <w:r>
        <w:rPr>
          <w:snapToGrid w:val="0"/>
        </w:rPr>
        <w:t xml:space="preserve"> </w:t>
      </w:r>
    </w:p>
    <w:p>
      <w:pPr>
        <w:pStyle w:val="Subsection"/>
        <w:rPr>
          <w:snapToGrid w:val="0"/>
        </w:rPr>
      </w:pPr>
      <w:r>
        <w:rPr>
          <w:snapToGrid w:val="0"/>
        </w:rPr>
        <w:tab/>
        <w:t>(1)</w:t>
      </w:r>
      <w:r>
        <w:rPr>
          <w:snapToGrid w:val="0"/>
        </w:rPr>
        <w:tab/>
        <w:t xml:space="preserve">The Minister may, by order published in the </w:t>
      </w:r>
      <w:r>
        <w:rPr>
          <w:i/>
          <w:snapToGrid w:val="0"/>
        </w:rPr>
        <w:t>Gazette</w:t>
      </w:r>
      <w:r>
        <w:rPr>
          <w:snapToGrid w:val="0"/>
        </w:rPr>
        <w:t>, declare an event, or class of events, specified in the order to be a special event for the purposes of this Act.</w:t>
      </w:r>
    </w:p>
    <w:p>
      <w:pPr>
        <w:pStyle w:val="Subsection"/>
        <w:rPr>
          <w:snapToGrid w:val="0"/>
        </w:rPr>
      </w:pPr>
      <w:r>
        <w:rPr>
          <w:snapToGrid w:val="0"/>
        </w:rPr>
        <w:tab/>
        <w:t>(2)</w:t>
      </w:r>
      <w:r>
        <w:rPr>
          <w:snapToGrid w:val="0"/>
        </w:rPr>
        <w:tab/>
        <w:t>An order may be made in relation to — </w:t>
      </w:r>
    </w:p>
    <w:p>
      <w:pPr>
        <w:pStyle w:val="Indenta"/>
        <w:rPr>
          <w:snapToGrid w:val="0"/>
        </w:rPr>
      </w:pPr>
      <w:r>
        <w:rPr>
          <w:snapToGrid w:val="0"/>
        </w:rPr>
        <w:tab/>
        <w:t>(a)</w:t>
      </w:r>
      <w:r>
        <w:rPr>
          <w:snapToGrid w:val="0"/>
        </w:rPr>
        <w:tab/>
        <w:t>any sporting, cultural or other event that is to take place or is taking place in the State and that, in the opinion of the Minister, will attract a significant number of participants from other countries; or</w:t>
      </w:r>
    </w:p>
    <w:p>
      <w:pPr>
        <w:pStyle w:val="Indenta"/>
        <w:rPr>
          <w:snapToGrid w:val="0"/>
        </w:rPr>
      </w:pPr>
      <w:r>
        <w:rPr>
          <w:snapToGrid w:val="0"/>
        </w:rPr>
        <w:tab/>
        <w:t>(b)</w:t>
      </w:r>
      <w:r>
        <w:rPr>
          <w:snapToGrid w:val="0"/>
        </w:rPr>
        <w:tab/>
        <w:t xml:space="preserve">any sporting, cultural or other event that — </w:t>
      </w:r>
    </w:p>
    <w:p>
      <w:pPr>
        <w:pStyle w:val="Indenti"/>
        <w:rPr>
          <w:snapToGrid w:val="0"/>
        </w:rPr>
      </w:pPr>
      <w:r>
        <w:rPr>
          <w:snapToGrid w:val="0"/>
        </w:rPr>
        <w:tab/>
        <w:t>(i)</w:t>
      </w:r>
      <w:r>
        <w:rPr>
          <w:snapToGrid w:val="0"/>
        </w:rPr>
        <w:tab/>
        <w:t>is declared to be a special event under a law of another State or Territory that corresponds to this Act; and</w:t>
      </w:r>
    </w:p>
    <w:p>
      <w:pPr>
        <w:pStyle w:val="Indenti"/>
      </w:pPr>
      <w:r>
        <w:rPr>
          <w:snapToGrid w:val="0"/>
        </w:rPr>
        <w:tab/>
        <w:t>(ii)</w:t>
      </w:r>
      <w:r>
        <w:rPr>
          <w:snapToGrid w:val="0"/>
        </w:rPr>
        <w:tab/>
      </w:r>
      <w:r>
        <w:t>in the opinion of the Minister, will attract visitors to the State.</w:t>
      </w:r>
    </w:p>
    <w:p>
      <w:pPr>
        <w:pStyle w:val="Subsection"/>
        <w:rPr>
          <w:snapToGrid w:val="0"/>
        </w:rPr>
      </w:pPr>
      <w:r>
        <w:rPr>
          <w:snapToGrid w:val="0"/>
        </w:rPr>
        <w:tab/>
        <w:t>(3)</w:t>
      </w:r>
      <w:r>
        <w:rPr>
          <w:snapToGrid w:val="0"/>
        </w:rPr>
        <w:tab/>
        <w:t>The order is to specify — </w:t>
      </w:r>
    </w:p>
    <w:p>
      <w:pPr>
        <w:pStyle w:val="Indenta"/>
        <w:rPr>
          <w:snapToGrid w:val="0"/>
        </w:rPr>
      </w:pPr>
      <w:r>
        <w:rPr>
          <w:snapToGrid w:val="0"/>
        </w:rPr>
        <w:tab/>
        <w:t>(a)</w:t>
      </w:r>
      <w:r>
        <w:rPr>
          <w:snapToGrid w:val="0"/>
        </w:rPr>
        <w:tab/>
        <w:t>the period or periods in which the exemptions under this Act have effect in respect of the special event; and</w:t>
      </w:r>
    </w:p>
    <w:p>
      <w:pPr>
        <w:pStyle w:val="Indenta"/>
        <w:rPr>
          <w:snapToGrid w:val="0"/>
        </w:rPr>
      </w:pPr>
      <w:r>
        <w:rPr>
          <w:snapToGrid w:val="0"/>
        </w:rPr>
        <w:tab/>
        <w:t>(b)</w:t>
      </w:r>
      <w:r>
        <w:rPr>
          <w:snapToGrid w:val="0"/>
        </w:rPr>
        <w:tab/>
        <w:t>the procedure by which notice is to be given of a person’s intention to provide health care services in the State to a visitor.</w:t>
      </w:r>
    </w:p>
    <w:p>
      <w:pPr>
        <w:pStyle w:val="Subsection"/>
        <w:rPr>
          <w:snapToGrid w:val="0"/>
        </w:rPr>
      </w:pPr>
      <w:r>
        <w:rPr>
          <w:snapToGrid w:val="0"/>
        </w:rPr>
        <w:tab/>
        <w:t>(4)</w:t>
      </w:r>
      <w:r>
        <w:rPr>
          <w:snapToGrid w:val="0"/>
        </w:rPr>
        <w:tab/>
        <w:t>The exemption period for a special event may include any period or periods before or after the special event takes place.</w:t>
      </w:r>
    </w:p>
    <w:p>
      <w:pPr>
        <w:pStyle w:val="Heading5"/>
        <w:rPr>
          <w:snapToGrid w:val="0"/>
        </w:rPr>
      </w:pPr>
      <w:bookmarkStart w:id="53" w:name="_Toc479743298"/>
      <w:bookmarkStart w:id="54" w:name="_Toc122252523"/>
      <w:bookmarkStart w:id="55" w:name="_Toc122252629"/>
      <w:bookmarkStart w:id="56" w:name="_Toc159746491"/>
      <w:r>
        <w:rPr>
          <w:rStyle w:val="CharSectno"/>
        </w:rPr>
        <w:t>7</w:t>
      </w:r>
      <w:r>
        <w:rPr>
          <w:snapToGrid w:val="0"/>
        </w:rPr>
        <w:t>.</w:t>
      </w:r>
      <w:r>
        <w:rPr>
          <w:snapToGrid w:val="0"/>
        </w:rPr>
        <w:tab/>
        <w:t>Provision of health care services by visiting health professionals authorized</w:t>
      </w:r>
      <w:bookmarkEnd w:id="53"/>
      <w:bookmarkEnd w:id="54"/>
      <w:bookmarkEnd w:id="55"/>
      <w:bookmarkEnd w:id="56"/>
      <w:r>
        <w:rPr>
          <w:snapToGrid w:val="0"/>
        </w:rPr>
        <w:t xml:space="preserve"> </w:t>
      </w:r>
    </w:p>
    <w:p>
      <w:pPr>
        <w:pStyle w:val="Subsection"/>
        <w:rPr>
          <w:snapToGrid w:val="0"/>
        </w:rPr>
      </w:pPr>
      <w:r>
        <w:rPr>
          <w:snapToGrid w:val="0"/>
        </w:rPr>
        <w:tab/>
      </w:r>
      <w:r>
        <w:rPr>
          <w:snapToGrid w:val="0"/>
        </w:rPr>
        <w:tab/>
        <w:t>A visiting health professional is authorized to provide health care services to a visitor for whom the health professional has been appointed, employed, contracted or otherwise engaged to provide those services.</w:t>
      </w:r>
    </w:p>
    <w:p>
      <w:pPr>
        <w:pStyle w:val="Heading5"/>
        <w:rPr>
          <w:snapToGrid w:val="0"/>
        </w:rPr>
      </w:pPr>
      <w:bookmarkStart w:id="57" w:name="_Toc479743299"/>
      <w:bookmarkStart w:id="58" w:name="_Toc122252524"/>
      <w:bookmarkStart w:id="59" w:name="_Toc122252630"/>
      <w:bookmarkStart w:id="60" w:name="_Toc159746492"/>
      <w:r>
        <w:rPr>
          <w:rStyle w:val="CharSectno"/>
        </w:rPr>
        <w:t>8</w:t>
      </w:r>
      <w:r>
        <w:rPr>
          <w:snapToGrid w:val="0"/>
        </w:rPr>
        <w:t>.</w:t>
      </w:r>
      <w:r>
        <w:rPr>
          <w:snapToGrid w:val="0"/>
        </w:rPr>
        <w:tab/>
        <w:t>Conditions on practice by visiting health professionals</w:t>
      </w:r>
      <w:bookmarkEnd w:id="57"/>
      <w:bookmarkEnd w:id="58"/>
      <w:bookmarkEnd w:id="59"/>
      <w:bookmarkEnd w:id="60"/>
      <w:r>
        <w:rPr>
          <w:snapToGrid w:val="0"/>
        </w:rPr>
        <w:t xml:space="preserve"> </w:t>
      </w:r>
    </w:p>
    <w:p>
      <w:pPr>
        <w:pStyle w:val="Subsection"/>
      </w:pPr>
      <w:r>
        <w:tab/>
        <w:t>(1)</w:t>
      </w:r>
      <w:r>
        <w:tab/>
        <w:t>It is a condition on the provision of health care services by each visiting health professional that the visiting health professional is not to provide health care services other than health care services that may be lawfully provided in this State by a registered health professional of the like profession.</w:t>
      </w:r>
    </w:p>
    <w:p>
      <w:pPr>
        <w:pStyle w:val="Subsection"/>
      </w:pPr>
      <w:r>
        <w:tab/>
        <w:t>(2)</w:t>
      </w:r>
      <w:r>
        <w:tab/>
        <w:t>It is a condition on the provision of health care services by each visiting health professional that the visiting health professional is not to possess, use or supply a substance in the course of providing health care services authorized under this Act other than a substance that may be lawfully possessed, used or supplied in this State by a registered health professional of the like profession.</w:t>
      </w:r>
    </w:p>
    <w:p>
      <w:pPr>
        <w:pStyle w:val="Subsection"/>
        <w:rPr>
          <w:snapToGrid w:val="0"/>
        </w:rPr>
      </w:pPr>
      <w:r>
        <w:rPr>
          <w:snapToGrid w:val="0"/>
        </w:rPr>
        <w:tab/>
        <w:t>(3)</w:t>
      </w:r>
      <w:r>
        <w:rPr>
          <w:snapToGrid w:val="0"/>
        </w:rPr>
        <w:tab/>
        <w:t>The Minister may, by an order under section 6, do one or more of the following:</w:t>
      </w:r>
    </w:p>
    <w:p>
      <w:pPr>
        <w:pStyle w:val="Indenta"/>
        <w:rPr>
          <w:snapToGrid w:val="0"/>
        </w:rPr>
      </w:pPr>
      <w:r>
        <w:rPr>
          <w:snapToGrid w:val="0"/>
        </w:rPr>
        <w:tab/>
        <w:t>(a)</w:t>
      </w:r>
      <w:r>
        <w:rPr>
          <w:snapToGrid w:val="0"/>
        </w:rPr>
        <w:tab/>
        <w:t>impose further conditions on the provision of health care services by a visiting health professional;</w:t>
      </w:r>
    </w:p>
    <w:p>
      <w:pPr>
        <w:pStyle w:val="Indenta"/>
      </w:pPr>
      <w:r>
        <w:rPr>
          <w:snapToGrid w:val="0"/>
        </w:rPr>
        <w:tab/>
        <w:t>(b)</w:t>
      </w:r>
      <w:r>
        <w:rPr>
          <w:snapToGrid w:val="0"/>
        </w:rPr>
        <w:tab/>
      </w:r>
      <w:r>
        <w:t>exempt a visiting health professional from the condition referred to in subsection (1);</w:t>
      </w:r>
    </w:p>
    <w:p>
      <w:pPr>
        <w:pStyle w:val="Indenta"/>
      </w:pPr>
      <w:r>
        <w:rPr>
          <w:snapToGrid w:val="0"/>
        </w:rPr>
        <w:tab/>
        <w:t>(c)</w:t>
      </w:r>
      <w:r>
        <w:rPr>
          <w:snapToGrid w:val="0"/>
        </w:rPr>
        <w:tab/>
      </w:r>
      <w:r>
        <w:t>exempt a visiting health professional from the condition referred to in subsection (2).</w:t>
      </w:r>
    </w:p>
    <w:p>
      <w:pPr>
        <w:pStyle w:val="Subsection"/>
        <w:rPr>
          <w:snapToGrid w:val="0"/>
        </w:rPr>
      </w:pPr>
      <w:r>
        <w:rPr>
          <w:snapToGrid w:val="0"/>
        </w:rPr>
        <w:tab/>
        <w:t>(4)</w:t>
      </w:r>
      <w:r>
        <w:rPr>
          <w:snapToGrid w:val="0"/>
        </w:rPr>
        <w:tab/>
        <w:t>A condition or exemption may apply generally or apply to a particular special event or to a particular person or class of persons specified in the order.</w:t>
      </w:r>
    </w:p>
    <w:p>
      <w:pPr>
        <w:pStyle w:val="Subsection"/>
        <w:rPr>
          <w:snapToGrid w:val="0"/>
        </w:rPr>
      </w:pPr>
      <w:r>
        <w:rPr>
          <w:snapToGrid w:val="0"/>
        </w:rPr>
        <w:tab/>
        <w:t>(5)</w:t>
      </w:r>
      <w:r>
        <w:rPr>
          <w:snapToGrid w:val="0"/>
        </w:rPr>
        <w:tab/>
        <w:t>The regulations may make provision for or with respect to conditions to be imposed on the provision of health care services by a visiting health professional.</w:t>
      </w:r>
    </w:p>
    <w:p>
      <w:pPr>
        <w:pStyle w:val="Subsection"/>
        <w:rPr>
          <w:snapToGrid w:val="0"/>
        </w:rPr>
      </w:pPr>
      <w:r>
        <w:rPr>
          <w:snapToGrid w:val="0"/>
        </w:rPr>
        <w:tab/>
        <w:t>(6)</w:t>
      </w:r>
      <w:r>
        <w:rPr>
          <w:snapToGrid w:val="0"/>
        </w:rPr>
        <w:tab/>
        <w:t>If there is conflict or inconsistency between a regulation referred to in subsection (5) and a condition imposed under subsection (3), the regulation, to the extent of the conflict or inconsistency, prevails.</w:t>
      </w:r>
    </w:p>
    <w:p>
      <w:pPr>
        <w:pStyle w:val="Heading5"/>
        <w:rPr>
          <w:snapToGrid w:val="0"/>
        </w:rPr>
      </w:pPr>
      <w:bookmarkStart w:id="61" w:name="_Toc479743300"/>
      <w:bookmarkStart w:id="62" w:name="_Toc122252525"/>
      <w:bookmarkStart w:id="63" w:name="_Toc122252631"/>
      <w:bookmarkStart w:id="64" w:name="_Toc159746493"/>
      <w:r>
        <w:rPr>
          <w:rStyle w:val="CharSectno"/>
        </w:rPr>
        <w:t>9</w:t>
      </w:r>
      <w:r>
        <w:rPr>
          <w:snapToGrid w:val="0"/>
        </w:rPr>
        <w:t>.</w:t>
      </w:r>
      <w:r>
        <w:rPr>
          <w:snapToGrid w:val="0"/>
        </w:rPr>
        <w:tab/>
        <w:t>Issue of prescriptions and supply of certain substances authorized</w:t>
      </w:r>
      <w:bookmarkEnd w:id="61"/>
      <w:bookmarkEnd w:id="62"/>
      <w:bookmarkEnd w:id="63"/>
      <w:bookmarkEnd w:id="64"/>
      <w:r>
        <w:rPr>
          <w:snapToGrid w:val="0"/>
        </w:rPr>
        <w:t xml:space="preserve"> </w:t>
      </w:r>
    </w:p>
    <w:p>
      <w:pPr>
        <w:pStyle w:val="Subsection"/>
        <w:rPr>
          <w:snapToGrid w:val="0"/>
        </w:rPr>
      </w:pPr>
      <w:r>
        <w:rPr>
          <w:snapToGrid w:val="0"/>
        </w:rPr>
        <w:tab/>
        <w:t>(1)</w:t>
      </w:r>
      <w:r>
        <w:rPr>
          <w:snapToGrid w:val="0"/>
        </w:rPr>
        <w:tab/>
        <w:t>A visiting health professional may issue a written prescription for a restricted substance or a drug of addiction only if authorized to do so by an order under section 6.</w:t>
      </w:r>
    </w:p>
    <w:p>
      <w:pPr>
        <w:pStyle w:val="Subsection"/>
        <w:rPr>
          <w:snapToGrid w:val="0"/>
        </w:rPr>
      </w:pPr>
      <w:r>
        <w:rPr>
          <w:snapToGrid w:val="0"/>
        </w:rPr>
        <w:tab/>
        <w:t>(2)</w:t>
      </w:r>
      <w:r>
        <w:rPr>
          <w:snapToGrid w:val="0"/>
        </w:rPr>
        <w:tab/>
        <w:t>The Minister may, by an order under section 6 — </w:t>
      </w:r>
    </w:p>
    <w:p>
      <w:pPr>
        <w:pStyle w:val="Indenta"/>
        <w:rPr>
          <w:snapToGrid w:val="0"/>
        </w:rPr>
      </w:pPr>
      <w:r>
        <w:rPr>
          <w:snapToGrid w:val="0"/>
        </w:rPr>
        <w:tab/>
        <w:t>(a)</w:t>
      </w:r>
      <w:r>
        <w:rPr>
          <w:snapToGrid w:val="0"/>
        </w:rPr>
        <w:tab/>
        <w:t>authorize a visiting health professional or a class of visiting health professionals to issue written prescriptions for a restricted substance or drug of addiction, or restricted substances or drugs of addiction of a class specified in the order, in the course of providing health care services in accordance with this Act;</w:t>
      </w:r>
    </w:p>
    <w:p>
      <w:pPr>
        <w:pStyle w:val="Indenta"/>
        <w:rPr>
          <w:snapToGrid w:val="0"/>
        </w:rPr>
      </w:pPr>
      <w:r>
        <w:rPr>
          <w:snapToGrid w:val="0"/>
        </w:rPr>
        <w:tab/>
        <w:t>(b)</w:t>
      </w:r>
      <w:r>
        <w:rPr>
          <w:snapToGrid w:val="0"/>
        </w:rPr>
        <w:tab/>
        <w:t xml:space="preserve">authorize any person or class of persons to sell or supply a restricted substance or drug of addiction on such a prescription, but only if the person or class of persons is licensed or otherwise authorized under the </w:t>
      </w:r>
      <w:r>
        <w:rPr>
          <w:i/>
          <w:snapToGrid w:val="0"/>
        </w:rPr>
        <w:t>Poisons Act 1964</w:t>
      </w:r>
      <w:r>
        <w:rPr>
          <w:snapToGrid w:val="0"/>
        </w:rPr>
        <w:t xml:space="preserve"> to sell or supply the substance on prescription;</w:t>
      </w:r>
    </w:p>
    <w:p>
      <w:pPr>
        <w:pStyle w:val="Indenta"/>
        <w:rPr>
          <w:snapToGrid w:val="0"/>
        </w:rPr>
      </w:pPr>
      <w:r>
        <w:rPr>
          <w:snapToGrid w:val="0"/>
        </w:rPr>
        <w:tab/>
        <w:t>(c)</w:t>
      </w:r>
      <w:r>
        <w:rPr>
          <w:snapToGrid w:val="0"/>
        </w:rPr>
        <w:tab/>
        <w:t>authorize a visiting health professional, all visiting health professionals or a class of visiting health professionals to be sold any substance by wholesale; and</w:t>
      </w:r>
    </w:p>
    <w:p>
      <w:pPr>
        <w:pStyle w:val="Indenta"/>
        <w:rPr>
          <w:snapToGrid w:val="0"/>
        </w:rPr>
      </w:pPr>
      <w:r>
        <w:rPr>
          <w:snapToGrid w:val="0"/>
        </w:rPr>
        <w:tab/>
        <w:t>(d)</w:t>
      </w:r>
      <w:r>
        <w:rPr>
          <w:snapToGrid w:val="0"/>
        </w:rPr>
        <w:tab/>
        <w:t xml:space="preserve">authorize any person or class of persons to sell any substance by wholesale to any visiting health professional authorized as referred to in paragraph (c), but only if the person or class of persons is licensed or otherwise authorized under the </w:t>
      </w:r>
      <w:r>
        <w:rPr>
          <w:i/>
          <w:snapToGrid w:val="0"/>
        </w:rPr>
        <w:t>Poisons Act 1964</w:t>
      </w:r>
      <w:r>
        <w:rPr>
          <w:snapToGrid w:val="0"/>
        </w:rPr>
        <w:t xml:space="preserve"> to sell the substance by wholesale to a medical practitioner.</w:t>
      </w:r>
    </w:p>
    <w:p>
      <w:pPr>
        <w:pStyle w:val="Subsection"/>
        <w:rPr>
          <w:snapToGrid w:val="0"/>
        </w:rPr>
      </w:pPr>
      <w:r>
        <w:rPr>
          <w:snapToGrid w:val="0"/>
        </w:rPr>
        <w:tab/>
        <w:t>(3)</w:t>
      </w:r>
      <w:r>
        <w:rPr>
          <w:snapToGrid w:val="0"/>
        </w:rPr>
        <w:tab/>
        <w:t>The Minister is not to make an order containing an authorization referred to in subsection (2) unless the Minister is satisfied that adequate arrangements are in place to ensure that the substances concerned will only be prescribed for, sold or supplied to, and used by, persons to whom visiting health professionals are authorized to provide health care services under this Act.</w:t>
      </w:r>
    </w:p>
    <w:p>
      <w:pPr>
        <w:pStyle w:val="Subsection"/>
      </w:pPr>
      <w:r>
        <w:rPr>
          <w:snapToGrid w:val="0"/>
        </w:rPr>
        <w:tab/>
        <w:t>(4)</w:t>
      </w:r>
      <w:r>
        <w:rPr>
          <w:snapToGrid w:val="0"/>
        </w:rPr>
        <w:tab/>
      </w:r>
      <w:r>
        <w:t>The Minister is not to make an order containing an authorization referred to in subsection (2)(a) in respect of a visiting health professional or class of visiting health professionals unless registered health professionals of the like profession in this State may lawfully issue written prescriptions for the restricted substance or drug of addiction of the type or class specified in the order.</w:t>
      </w:r>
    </w:p>
    <w:p>
      <w:pPr>
        <w:pStyle w:val="Subsection"/>
        <w:rPr>
          <w:snapToGrid w:val="0"/>
        </w:rPr>
      </w:pPr>
      <w:r>
        <w:rPr>
          <w:snapToGrid w:val="0"/>
        </w:rPr>
        <w:tab/>
        <w:t>(5)</w:t>
      </w:r>
      <w:r>
        <w:rPr>
          <w:snapToGrid w:val="0"/>
        </w:rPr>
        <w:tab/>
        <w:t>An order under section 6 may impose conditions on any authorization referred to in this section that is conferred by the order.</w:t>
      </w:r>
    </w:p>
    <w:p>
      <w:pPr>
        <w:pStyle w:val="Heading5"/>
        <w:rPr>
          <w:snapToGrid w:val="0"/>
        </w:rPr>
      </w:pPr>
      <w:bookmarkStart w:id="65" w:name="_Toc479743301"/>
      <w:bookmarkStart w:id="66" w:name="_Toc122252526"/>
      <w:bookmarkStart w:id="67" w:name="_Toc122252632"/>
      <w:bookmarkStart w:id="68" w:name="_Toc159746494"/>
      <w:r>
        <w:rPr>
          <w:rStyle w:val="CharSectno"/>
        </w:rPr>
        <w:t>10</w:t>
      </w:r>
      <w:r>
        <w:rPr>
          <w:snapToGrid w:val="0"/>
        </w:rPr>
        <w:t>.</w:t>
      </w:r>
      <w:r>
        <w:rPr>
          <w:snapToGrid w:val="0"/>
        </w:rPr>
        <w:tab/>
        <w:t>Request for use of irradiating apparatus etc. authorized</w:t>
      </w:r>
      <w:bookmarkEnd w:id="65"/>
      <w:bookmarkEnd w:id="66"/>
      <w:bookmarkEnd w:id="67"/>
      <w:bookmarkEnd w:id="68"/>
      <w:r>
        <w:rPr>
          <w:snapToGrid w:val="0"/>
        </w:rPr>
        <w:t xml:space="preserve"> </w:t>
      </w:r>
    </w:p>
    <w:p>
      <w:pPr>
        <w:pStyle w:val="Subsection"/>
        <w:rPr>
          <w:snapToGrid w:val="0"/>
        </w:rPr>
      </w:pPr>
      <w:r>
        <w:rPr>
          <w:snapToGrid w:val="0"/>
        </w:rPr>
        <w:tab/>
        <w:t>(1)</w:t>
      </w:r>
      <w:r>
        <w:rPr>
          <w:snapToGrid w:val="0"/>
        </w:rPr>
        <w:tab/>
        <w:t xml:space="preserve">A visiting health professional may request the holder of a licence under section 26(1)(a) of the </w:t>
      </w:r>
      <w:r>
        <w:rPr>
          <w:i/>
          <w:snapToGrid w:val="0"/>
        </w:rPr>
        <w:t>Radiation Safety Act 1975</w:t>
      </w:r>
      <w:r>
        <w:rPr>
          <w:snapToGrid w:val="0"/>
        </w:rPr>
        <w:t xml:space="preserve"> to undertake diagnosis or therapy referred to in that section only if the visiting health professional is authorized to do so by an order under section 6.</w:t>
      </w:r>
    </w:p>
    <w:p>
      <w:pPr>
        <w:pStyle w:val="Subsection"/>
        <w:rPr>
          <w:snapToGrid w:val="0"/>
        </w:rPr>
      </w:pPr>
      <w:r>
        <w:rPr>
          <w:snapToGrid w:val="0"/>
        </w:rPr>
        <w:tab/>
        <w:t>(2)</w:t>
      </w:r>
      <w:r>
        <w:rPr>
          <w:snapToGrid w:val="0"/>
        </w:rPr>
        <w:tab/>
        <w:t xml:space="preserve">The Minister may, by an order under section 6 authorize a visiting health professional or a class of visiting health professionals, in the course of providing health care services in accordance with this Act, to request the holder of a licence under section 26(1)(a) of the </w:t>
      </w:r>
      <w:r>
        <w:rPr>
          <w:i/>
          <w:snapToGrid w:val="0"/>
        </w:rPr>
        <w:t>Radiation Safety Act 1975</w:t>
      </w:r>
      <w:r>
        <w:rPr>
          <w:snapToGrid w:val="0"/>
        </w:rPr>
        <w:t xml:space="preserve"> to undertake diagnosis or therapy referred to in that section.</w:t>
      </w:r>
    </w:p>
    <w:p>
      <w:pPr>
        <w:pStyle w:val="Subsection"/>
        <w:rPr>
          <w:snapToGrid w:val="0"/>
        </w:rPr>
      </w:pPr>
      <w:r>
        <w:rPr>
          <w:snapToGrid w:val="0"/>
        </w:rPr>
        <w:tab/>
        <w:t>(3)</w:t>
      </w:r>
      <w:r>
        <w:rPr>
          <w:snapToGrid w:val="0"/>
        </w:rPr>
        <w:tab/>
        <w:t>An order under section 6 may impose conditions on any authorization referred to in this section that is conferred by the order.</w:t>
      </w:r>
    </w:p>
    <w:p>
      <w:pPr>
        <w:pStyle w:val="Heading5"/>
        <w:rPr>
          <w:snapToGrid w:val="0"/>
        </w:rPr>
      </w:pPr>
      <w:bookmarkStart w:id="69" w:name="_Toc479743302"/>
      <w:bookmarkStart w:id="70" w:name="_Toc122252527"/>
      <w:bookmarkStart w:id="71" w:name="_Toc122252633"/>
      <w:bookmarkStart w:id="72" w:name="_Toc159746495"/>
      <w:r>
        <w:rPr>
          <w:rStyle w:val="CharSectno"/>
        </w:rPr>
        <w:t>11</w:t>
      </w:r>
      <w:r>
        <w:rPr>
          <w:snapToGrid w:val="0"/>
        </w:rPr>
        <w:t>.</w:t>
      </w:r>
      <w:r>
        <w:rPr>
          <w:snapToGrid w:val="0"/>
        </w:rPr>
        <w:tab/>
        <w:t>Exemptions</w:t>
      </w:r>
      <w:bookmarkEnd w:id="69"/>
      <w:bookmarkEnd w:id="70"/>
      <w:bookmarkEnd w:id="71"/>
      <w:bookmarkEnd w:id="72"/>
      <w:r>
        <w:rPr>
          <w:snapToGrid w:val="0"/>
        </w:rPr>
        <w:t xml:space="preserve"> </w:t>
      </w:r>
    </w:p>
    <w:p>
      <w:pPr>
        <w:pStyle w:val="Subsection"/>
        <w:rPr>
          <w:snapToGrid w:val="0"/>
        </w:rPr>
      </w:pPr>
      <w:r>
        <w:rPr>
          <w:snapToGrid w:val="0"/>
        </w:rPr>
        <w:tab/>
        <w:t>(1)</w:t>
      </w:r>
      <w:r>
        <w:rPr>
          <w:snapToGrid w:val="0"/>
        </w:rPr>
        <w:tab/>
        <w:t xml:space="preserve">A visiting health professional does not commit an offence under a Health Registration Act, the </w:t>
      </w:r>
      <w:r>
        <w:rPr>
          <w:i/>
          <w:snapToGrid w:val="0"/>
        </w:rPr>
        <w:t>Poisons Act 1964</w:t>
      </w:r>
      <w:r>
        <w:rPr>
          <w:snapToGrid w:val="0"/>
        </w:rPr>
        <w:t xml:space="preserve">, the </w:t>
      </w:r>
      <w:r>
        <w:rPr>
          <w:i/>
          <w:snapToGrid w:val="0"/>
        </w:rPr>
        <w:t>Radiation Safety Act 1975</w:t>
      </w:r>
      <w:r>
        <w:rPr>
          <w:snapToGrid w:val="0"/>
        </w:rPr>
        <w:t xml:space="preserve"> or the </w:t>
      </w:r>
      <w:r>
        <w:rPr>
          <w:i/>
          <w:snapToGrid w:val="0"/>
        </w:rPr>
        <w:t>Misuse of Drugs Act 1981</w:t>
      </w:r>
      <w:r>
        <w:rPr>
          <w:snapToGrid w:val="0"/>
        </w:rPr>
        <w:t xml:space="preserve"> for — </w:t>
      </w:r>
    </w:p>
    <w:p>
      <w:pPr>
        <w:pStyle w:val="Indenta"/>
        <w:rPr>
          <w:snapToGrid w:val="0"/>
        </w:rPr>
      </w:pPr>
      <w:r>
        <w:rPr>
          <w:snapToGrid w:val="0"/>
        </w:rPr>
        <w:tab/>
        <w:t>(a)</w:t>
      </w:r>
      <w:r>
        <w:rPr>
          <w:snapToGrid w:val="0"/>
        </w:rPr>
        <w:tab/>
        <w:t>providing health care services as authorized under this Act;</w:t>
      </w:r>
    </w:p>
    <w:p>
      <w:pPr>
        <w:pStyle w:val="Indenta"/>
        <w:rPr>
          <w:snapToGrid w:val="0"/>
        </w:rPr>
      </w:pPr>
      <w:r>
        <w:rPr>
          <w:snapToGrid w:val="0"/>
        </w:rPr>
        <w:tab/>
        <w:t>(b)</w:t>
      </w:r>
      <w:r>
        <w:rPr>
          <w:snapToGrid w:val="0"/>
        </w:rPr>
        <w:tab/>
        <w:t xml:space="preserve">possessing, using or supplying a substance in the course of providing those authorized health care services where the substance is — </w:t>
      </w:r>
    </w:p>
    <w:p>
      <w:pPr>
        <w:pStyle w:val="Indenti"/>
        <w:rPr>
          <w:snapToGrid w:val="0"/>
        </w:rPr>
      </w:pPr>
      <w:r>
        <w:rPr>
          <w:snapToGrid w:val="0"/>
        </w:rPr>
        <w:tab/>
        <w:t>(i)</w:t>
      </w:r>
      <w:r>
        <w:rPr>
          <w:snapToGrid w:val="0"/>
        </w:rPr>
        <w:tab/>
        <w:t>lawfully imported or lawfully obtained in Australia by the visiting health professional; and</w:t>
      </w:r>
    </w:p>
    <w:p>
      <w:pPr>
        <w:pStyle w:val="Indenti"/>
        <w:tabs>
          <w:tab w:val="left" w:pos="4678"/>
        </w:tabs>
      </w:pPr>
      <w:r>
        <w:tab/>
        <w:t>(ii)</w:t>
      </w:r>
      <w:r>
        <w:tab/>
        <w:t>a substance that may be lawfully possessed, used or supplied by a registered health professional of the like profession;</w:t>
      </w:r>
    </w:p>
    <w:p>
      <w:pPr>
        <w:pStyle w:val="Indenta"/>
        <w:rPr>
          <w:snapToGrid w:val="0"/>
        </w:rPr>
      </w:pPr>
      <w:r>
        <w:rPr>
          <w:snapToGrid w:val="0"/>
        </w:rPr>
        <w:tab/>
        <w:t>(c)</w:t>
      </w:r>
      <w:r>
        <w:rPr>
          <w:snapToGrid w:val="0"/>
        </w:rPr>
        <w:tab/>
        <w:t>prescribing a substance in the course of providing those authorized health care services;</w:t>
      </w:r>
    </w:p>
    <w:p>
      <w:pPr>
        <w:pStyle w:val="Indenta"/>
        <w:rPr>
          <w:snapToGrid w:val="0"/>
        </w:rPr>
      </w:pPr>
      <w:r>
        <w:rPr>
          <w:snapToGrid w:val="0"/>
        </w:rPr>
        <w:tab/>
        <w:t>(d)</w:t>
      </w:r>
      <w:r>
        <w:rPr>
          <w:snapToGrid w:val="0"/>
        </w:rPr>
        <w:tab/>
        <w:t xml:space="preserve">requesting the holder of a licence under the </w:t>
      </w:r>
      <w:r>
        <w:rPr>
          <w:i/>
          <w:snapToGrid w:val="0"/>
        </w:rPr>
        <w:t>Radiation Safety Act 1975</w:t>
      </w:r>
      <w:r>
        <w:rPr>
          <w:snapToGrid w:val="0"/>
        </w:rPr>
        <w:t xml:space="preserve"> to undertake diagnosis or therapy in the course of providing those authorized health care services;</w:t>
      </w:r>
    </w:p>
    <w:p>
      <w:pPr>
        <w:pStyle w:val="Indenta"/>
        <w:rPr>
          <w:snapToGrid w:val="0"/>
        </w:rPr>
      </w:pPr>
      <w:r>
        <w:rPr>
          <w:snapToGrid w:val="0"/>
        </w:rPr>
        <w:tab/>
        <w:t>(e)</w:t>
      </w:r>
      <w:r>
        <w:rPr>
          <w:snapToGrid w:val="0"/>
        </w:rPr>
        <w:tab/>
        <w:t>holding himself or herself out as being able to provide those authorized health care services; or</w:t>
      </w:r>
    </w:p>
    <w:p>
      <w:pPr>
        <w:pStyle w:val="Indenta"/>
        <w:rPr>
          <w:snapToGrid w:val="0"/>
        </w:rPr>
      </w:pPr>
      <w:r>
        <w:rPr>
          <w:snapToGrid w:val="0"/>
        </w:rPr>
        <w:tab/>
        <w:t>(f)</w:t>
      </w:r>
      <w:r>
        <w:rPr>
          <w:snapToGrid w:val="0"/>
        </w:rPr>
        <w:tab/>
        <w:t>using any name, initials, description, word, symbol, addition or title that the visiting health professional ordinarily uses.</w:t>
      </w:r>
    </w:p>
    <w:p>
      <w:pPr>
        <w:pStyle w:val="Subsection"/>
        <w:rPr>
          <w:snapToGrid w:val="0"/>
        </w:rPr>
      </w:pPr>
      <w:r>
        <w:rPr>
          <w:snapToGrid w:val="0"/>
        </w:rPr>
        <w:tab/>
        <w:t>(2)</w:t>
      </w:r>
      <w:r>
        <w:rPr>
          <w:snapToGrid w:val="0"/>
        </w:rPr>
        <w:tab/>
        <w:t xml:space="preserve">A visitor does not commit an offence under the </w:t>
      </w:r>
      <w:r>
        <w:rPr>
          <w:i/>
          <w:snapToGrid w:val="0"/>
        </w:rPr>
        <w:t xml:space="preserve">Poisons Act 1964 </w:t>
      </w:r>
      <w:r>
        <w:rPr>
          <w:snapToGrid w:val="0"/>
        </w:rPr>
        <w:t xml:space="preserve">or the </w:t>
      </w:r>
      <w:r>
        <w:rPr>
          <w:i/>
          <w:snapToGrid w:val="0"/>
        </w:rPr>
        <w:t>Misuse of Drugs Act 1981</w:t>
      </w:r>
      <w:r>
        <w:rPr>
          <w:snapToGrid w:val="0"/>
        </w:rPr>
        <w:t xml:space="preserve"> for using or possessing any substance as a result of being provided with health care services in accordance with this Act.</w:t>
      </w:r>
    </w:p>
    <w:p>
      <w:pPr>
        <w:pStyle w:val="Subsection"/>
        <w:rPr>
          <w:snapToGrid w:val="0"/>
        </w:rPr>
      </w:pPr>
      <w:r>
        <w:rPr>
          <w:snapToGrid w:val="0"/>
        </w:rPr>
        <w:tab/>
        <w:t>(3)</w:t>
      </w:r>
      <w:r>
        <w:rPr>
          <w:snapToGrid w:val="0"/>
        </w:rPr>
        <w:tab/>
        <w:t xml:space="preserve">A person does not commit an offence under the </w:t>
      </w:r>
      <w:r>
        <w:rPr>
          <w:i/>
          <w:snapToGrid w:val="0"/>
        </w:rPr>
        <w:t>Poisons Act 1964</w:t>
      </w:r>
      <w:r>
        <w:rPr>
          <w:snapToGrid w:val="0"/>
        </w:rPr>
        <w:t xml:space="preserve"> or the </w:t>
      </w:r>
      <w:r>
        <w:rPr>
          <w:i/>
          <w:snapToGrid w:val="0"/>
        </w:rPr>
        <w:t>Misuse of Drugs Act 1981</w:t>
      </w:r>
      <w:r>
        <w:rPr>
          <w:snapToGrid w:val="0"/>
        </w:rPr>
        <w:t xml:space="preserve"> for — </w:t>
      </w:r>
    </w:p>
    <w:p>
      <w:pPr>
        <w:pStyle w:val="Indenta"/>
        <w:rPr>
          <w:snapToGrid w:val="0"/>
        </w:rPr>
      </w:pPr>
      <w:r>
        <w:rPr>
          <w:snapToGrid w:val="0"/>
        </w:rPr>
        <w:tab/>
        <w:t>(a)</w:t>
      </w:r>
      <w:r>
        <w:rPr>
          <w:snapToGrid w:val="0"/>
        </w:rPr>
        <w:tab/>
        <w:t>selling or supplying a restricted substance or drug of addiction in accordance with a written prescription issued by a visiting health professional if — </w:t>
      </w:r>
    </w:p>
    <w:p>
      <w:pPr>
        <w:pStyle w:val="Indenti"/>
        <w:rPr>
          <w:snapToGrid w:val="0"/>
        </w:rPr>
      </w:pPr>
      <w:r>
        <w:rPr>
          <w:snapToGrid w:val="0"/>
        </w:rPr>
        <w:tab/>
        <w:t>(i)</w:t>
      </w:r>
      <w:r>
        <w:rPr>
          <w:snapToGrid w:val="0"/>
        </w:rPr>
        <w:tab/>
        <w:t>the visiting health professional is authorized under this Act to issue the prescription;</w:t>
      </w:r>
    </w:p>
    <w:p>
      <w:pPr>
        <w:pStyle w:val="Indenti"/>
        <w:rPr>
          <w:snapToGrid w:val="0"/>
        </w:rPr>
      </w:pPr>
      <w:r>
        <w:rPr>
          <w:snapToGrid w:val="0"/>
        </w:rPr>
        <w:tab/>
        <w:t>(ii)</w:t>
      </w:r>
      <w:r>
        <w:rPr>
          <w:snapToGrid w:val="0"/>
        </w:rPr>
        <w:tab/>
        <w:t>the person is authorized under this Act to sell or supply the substance on such a prescription; and</w:t>
      </w:r>
    </w:p>
    <w:p>
      <w:pPr>
        <w:pStyle w:val="Indenti"/>
        <w:rPr>
          <w:snapToGrid w:val="0"/>
        </w:rPr>
      </w:pPr>
      <w:r>
        <w:rPr>
          <w:snapToGrid w:val="0"/>
        </w:rPr>
        <w:tab/>
        <w:t>(iii)</w:t>
      </w:r>
      <w:r>
        <w:rPr>
          <w:snapToGrid w:val="0"/>
        </w:rPr>
        <w:tab/>
        <w:t xml:space="preserve">the person is complying with any conditions to which the person’s authorization under the </w:t>
      </w:r>
      <w:r>
        <w:rPr>
          <w:i/>
          <w:snapToGrid w:val="0"/>
        </w:rPr>
        <w:t>Poisons Act 1964</w:t>
      </w:r>
      <w:r>
        <w:rPr>
          <w:snapToGrid w:val="0"/>
        </w:rPr>
        <w:t xml:space="preserve"> is subject;</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selling any substance by wholesale to a visiting health professional if — </w:t>
      </w:r>
    </w:p>
    <w:p>
      <w:pPr>
        <w:pStyle w:val="Indenti"/>
        <w:rPr>
          <w:snapToGrid w:val="0"/>
        </w:rPr>
      </w:pPr>
      <w:r>
        <w:rPr>
          <w:snapToGrid w:val="0"/>
        </w:rPr>
        <w:tab/>
        <w:t>(i)</w:t>
      </w:r>
      <w:r>
        <w:rPr>
          <w:snapToGrid w:val="0"/>
        </w:rPr>
        <w:tab/>
        <w:t xml:space="preserve">the person is authorized under this Act to supply the substance by wholesale; </w:t>
      </w:r>
    </w:p>
    <w:p>
      <w:pPr>
        <w:pStyle w:val="Indenti"/>
        <w:rPr>
          <w:snapToGrid w:val="0"/>
        </w:rPr>
      </w:pPr>
      <w:r>
        <w:rPr>
          <w:snapToGrid w:val="0"/>
        </w:rPr>
        <w:tab/>
        <w:t>(ii)</w:t>
      </w:r>
      <w:r>
        <w:rPr>
          <w:snapToGrid w:val="0"/>
        </w:rPr>
        <w:tab/>
        <w:t>the visiting health professional is authorized under this Act to be sold the substance by wholesale; and</w:t>
      </w:r>
    </w:p>
    <w:p>
      <w:pPr>
        <w:pStyle w:val="Indenti"/>
        <w:rPr>
          <w:snapToGrid w:val="0"/>
        </w:rPr>
      </w:pPr>
      <w:r>
        <w:rPr>
          <w:snapToGrid w:val="0"/>
        </w:rPr>
        <w:tab/>
        <w:t>(iii)</w:t>
      </w:r>
      <w:r>
        <w:rPr>
          <w:snapToGrid w:val="0"/>
        </w:rPr>
        <w:tab/>
        <w:t xml:space="preserve">the person is complying with any conditions to which the person’s authorization under the </w:t>
      </w:r>
      <w:r>
        <w:rPr>
          <w:i/>
          <w:snapToGrid w:val="0"/>
        </w:rPr>
        <w:t>Poisons Act 1964</w:t>
      </w:r>
      <w:r>
        <w:rPr>
          <w:snapToGrid w:val="0"/>
        </w:rPr>
        <w:t xml:space="preserve"> is subject.</w:t>
      </w:r>
    </w:p>
    <w:p>
      <w:pPr>
        <w:pStyle w:val="Subsection"/>
        <w:rPr>
          <w:snapToGrid w:val="0"/>
        </w:rPr>
      </w:pPr>
      <w:r>
        <w:rPr>
          <w:snapToGrid w:val="0"/>
        </w:rPr>
        <w:tab/>
        <w:t>(4)</w:t>
      </w:r>
      <w:r>
        <w:rPr>
          <w:snapToGrid w:val="0"/>
        </w:rPr>
        <w:tab/>
        <w:t>The regulations may prescribe other offences to which subsection (1), (2) or (3) applies.</w:t>
      </w:r>
    </w:p>
    <w:p>
      <w:pPr>
        <w:pStyle w:val="Heading5"/>
        <w:rPr>
          <w:snapToGrid w:val="0"/>
        </w:rPr>
      </w:pPr>
      <w:bookmarkStart w:id="73" w:name="_Toc479743303"/>
      <w:bookmarkStart w:id="74" w:name="_Toc122252528"/>
      <w:bookmarkStart w:id="75" w:name="_Toc122252634"/>
      <w:bookmarkStart w:id="76" w:name="_Toc159746496"/>
      <w:r>
        <w:rPr>
          <w:rStyle w:val="CharSectno"/>
        </w:rPr>
        <w:t>12</w:t>
      </w:r>
      <w:r>
        <w:rPr>
          <w:snapToGrid w:val="0"/>
        </w:rPr>
        <w:t>.</w:t>
      </w:r>
      <w:r>
        <w:rPr>
          <w:snapToGrid w:val="0"/>
        </w:rPr>
        <w:tab/>
        <w:t>Operation of authorizations</w:t>
      </w:r>
      <w:bookmarkEnd w:id="73"/>
      <w:bookmarkEnd w:id="74"/>
      <w:bookmarkEnd w:id="75"/>
      <w:bookmarkEnd w:id="76"/>
      <w:r>
        <w:rPr>
          <w:snapToGrid w:val="0"/>
        </w:rPr>
        <w:t xml:space="preserve"> </w:t>
      </w:r>
    </w:p>
    <w:p>
      <w:pPr>
        <w:pStyle w:val="Subsection"/>
        <w:rPr>
          <w:snapToGrid w:val="0"/>
        </w:rPr>
      </w:pPr>
      <w:r>
        <w:rPr>
          <w:snapToGrid w:val="0"/>
        </w:rPr>
        <w:tab/>
        <w:t>(1)</w:t>
      </w:r>
      <w:r>
        <w:rPr>
          <w:snapToGrid w:val="0"/>
        </w:rPr>
        <w:tab/>
        <w:t>Section 7 and any authorization referred to in section 9 or 10 operate in relation to a visiting health professional during the exemption period for the special event in respect of which notice is given by or on behalf of that visiting health professional under section 5(d) and at no other time.</w:t>
      </w:r>
    </w:p>
    <w:p>
      <w:pPr>
        <w:pStyle w:val="Subsection"/>
        <w:rPr>
          <w:snapToGrid w:val="0"/>
        </w:rPr>
      </w:pPr>
      <w:r>
        <w:rPr>
          <w:snapToGrid w:val="0"/>
        </w:rPr>
        <w:tab/>
        <w:t>(2)</w:t>
      </w:r>
      <w:r>
        <w:rPr>
          <w:snapToGrid w:val="0"/>
        </w:rPr>
        <w:tab/>
        <w:t>Section 7 and any authorization referred to in section 9 or 10 do not operate in relation to a visiting health professional if the visiting health professional fails to comply with the provisions of this Act, the regulations or any relevant conditions imposed by or under this Act.</w:t>
      </w:r>
    </w:p>
    <w:p>
      <w:pPr>
        <w:pStyle w:val="Heading2"/>
      </w:pPr>
      <w:bookmarkStart w:id="77" w:name="_Toc122252415"/>
      <w:bookmarkStart w:id="78" w:name="_Toc122252503"/>
      <w:bookmarkStart w:id="79" w:name="_Toc122252529"/>
      <w:bookmarkStart w:id="80" w:name="_Toc122252612"/>
      <w:bookmarkStart w:id="81" w:name="_Toc122252635"/>
      <w:bookmarkStart w:id="82" w:name="_Toc122252738"/>
      <w:bookmarkStart w:id="83" w:name="_Toc122852219"/>
      <w:bookmarkStart w:id="84" w:name="_Toc122853551"/>
      <w:bookmarkStart w:id="85" w:name="_Toc122854057"/>
      <w:bookmarkStart w:id="86" w:name="_Toc122926413"/>
      <w:bookmarkStart w:id="87" w:name="_Toc122940332"/>
      <w:bookmarkStart w:id="88" w:name="_Toc135132398"/>
      <w:bookmarkStart w:id="89" w:name="_Toc159746497"/>
      <w:r>
        <w:rPr>
          <w:rStyle w:val="CharPartNo"/>
        </w:rPr>
        <w:t>Part 3</w:t>
      </w:r>
      <w:r>
        <w:rPr>
          <w:rStyle w:val="CharDivNo"/>
        </w:rPr>
        <w:t> </w:t>
      </w:r>
      <w:r>
        <w:t>—</w:t>
      </w:r>
      <w:r>
        <w:rPr>
          <w:rStyle w:val="CharDivText"/>
        </w:rPr>
        <w:t> </w:t>
      </w:r>
      <w:r>
        <w:rPr>
          <w:rStyle w:val="CharPartText"/>
        </w:rPr>
        <w:t>Miscellaneous</w:t>
      </w:r>
      <w:bookmarkEnd w:id="77"/>
      <w:bookmarkEnd w:id="78"/>
      <w:bookmarkEnd w:id="79"/>
      <w:bookmarkEnd w:id="80"/>
      <w:bookmarkEnd w:id="81"/>
      <w:bookmarkEnd w:id="82"/>
      <w:bookmarkEnd w:id="83"/>
      <w:bookmarkEnd w:id="84"/>
      <w:bookmarkEnd w:id="85"/>
      <w:bookmarkEnd w:id="86"/>
      <w:bookmarkEnd w:id="87"/>
      <w:bookmarkEnd w:id="88"/>
      <w:bookmarkEnd w:id="89"/>
      <w:r>
        <w:rPr>
          <w:rStyle w:val="CharPartText"/>
        </w:rPr>
        <w:t xml:space="preserve"> </w:t>
      </w:r>
    </w:p>
    <w:p>
      <w:pPr>
        <w:pStyle w:val="Heading5"/>
        <w:rPr>
          <w:snapToGrid w:val="0"/>
        </w:rPr>
      </w:pPr>
      <w:bookmarkStart w:id="90" w:name="_Toc479743304"/>
      <w:bookmarkStart w:id="91" w:name="_Toc122252530"/>
      <w:bookmarkStart w:id="92" w:name="_Toc122252636"/>
      <w:bookmarkStart w:id="93" w:name="_Toc159746498"/>
      <w:r>
        <w:rPr>
          <w:rStyle w:val="CharSectno"/>
        </w:rPr>
        <w:t>13</w:t>
      </w:r>
      <w:r>
        <w:rPr>
          <w:snapToGrid w:val="0"/>
        </w:rPr>
        <w:t>.</w:t>
      </w:r>
      <w:r>
        <w:rPr>
          <w:snapToGrid w:val="0"/>
        </w:rPr>
        <w:tab/>
        <w:t>Complaints about visiting health professionals</w:t>
      </w:r>
      <w:bookmarkEnd w:id="90"/>
      <w:bookmarkEnd w:id="91"/>
      <w:bookmarkEnd w:id="92"/>
      <w:bookmarkEnd w:id="93"/>
      <w:r>
        <w:rPr>
          <w:snapToGrid w:val="0"/>
        </w:rPr>
        <w:t xml:space="preserve"> </w:t>
      </w:r>
    </w:p>
    <w:p>
      <w:pPr>
        <w:pStyle w:val="Subsection"/>
        <w:rPr>
          <w:snapToGrid w:val="0"/>
        </w:rPr>
      </w:pPr>
      <w:r>
        <w:rPr>
          <w:snapToGrid w:val="0"/>
        </w:rPr>
        <w:tab/>
        <w:t>(1)</w:t>
      </w:r>
      <w:r>
        <w:rPr>
          <w:snapToGrid w:val="0"/>
        </w:rPr>
        <w:tab/>
        <w:t xml:space="preserve">A complaint may not be made about a visiting health professional under the </w:t>
      </w:r>
      <w:r>
        <w:rPr>
          <w:i/>
          <w:snapToGrid w:val="0"/>
        </w:rPr>
        <w:t>Health Services (Conciliation and Review) Act 1995</w:t>
      </w:r>
      <w:r>
        <w:rPr>
          <w:snapToGrid w:val="0"/>
        </w:rPr>
        <w:t xml:space="preserve"> or a Health Registration Act and no disciplinary action may be taken against a visiting health professional under those Acts.</w:t>
      </w:r>
    </w:p>
    <w:p>
      <w:pPr>
        <w:pStyle w:val="Subsection"/>
        <w:rPr>
          <w:snapToGrid w:val="0"/>
        </w:rPr>
      </w:pPr>
      <w:r>
        <w:rPr>
          <w:snapToGrid w:val="0"/>
        </w:rPr>
        <w:tab/>
        <w:t>(2)</w:t>
      </w:r>
      <w:r>
        <w:rPr>
          <w:snapToGrid w:val="0"/>
        </w:rPr>
        <w:tab/>
        <w:t>This section does not prevent the bringing of proceedings for an offence under an Act referred to in subsection (1).</w:t>
      </w:r>
    </w:p>
    <w:p>
      <w:pPr>
        <w:pStyle w:val="Heading5"/>
        <w:rPr>
          <w:snapToGrid w:val="0"/>
        </w:rPr>
      </w:pPr>
      <w:bookmarkStart w:id="94" w:name="_Toc479743305"/>
      <w:bookmarkStart w:id="95" w:name="_Toc122252531"/>
      <w:bookmarkStart w:id="96" w:name="_Toc122252637"/>
      <w:bookmarkStart w:id="97" w:name="_Toc159746499"/>
      <w:r>
        <w:rPr>
          <w:rStyle w:val="CharSectno"/>
        </w:rPr>
        <w:t>14</w:t>
      </w:r>
      <w:r>
        <w:rPr>
          <w:snapToGrid w:val="0"/>
        </w:rPr>
        <w:t>.</w:t>
      </w:r>
      <w:r>
        <w:rPr>
          <w:snapToGrid w:val="0"/>
        </w:rPr>
        <w:tab/>
        <w:t>Application of Act to particular persons</w:t>
      </w:r>
      <w:bookmarkEnd w:id="94"/>
      <w:bookmarkEnd w:id="95"/>
      <w:bookmarkEnd w:id="96"/>
      <w:bookmarkEnd w:id="97"/>
      <w:r>
        <w:rPr>
          <w:snapToGrid w:val="0"/>
        </w:rPr>
        <w:t xml:space="preserve"> </w:t>
      </w:r>
    </w:p>
    <w:p>
      <w:pPr>
        <w:pStyle w:val="Subsection"/>
        <w:rPr>
          <w:snapToGrid w:val="0"/>
        </w:rPr>
      </w:pPr>
      <w:r>
        <w:rPr>
          <w:snapToGrid w:val="0"/>
        </w:rPr>
        <w:tab/>
      </w:r>
      <w:r>
        <w:rPr>
          <w:snapToGrid w:val="0"/>
        </w:rPr>
        <w:tab/>
        <w:t xml:space="preserve">The Minister may at any time, by order published in the </w:t>
      </w:r>
      <w:r>
        <w:rPr>
          <w:i/>
          <w:snapToGrid w:val="0"/>
        </w:rPr>
        <w:t>Gazette</w:t>
      </w:r>
      <w:r>
        <w:rPr>
          <w:snapToGrid w:val="0"/>
        </w:rPr>
        <w:t>, declare that this Act, or a specified provision of this Act, does not apply to or in respect of a specified person or class of persons, and that order has effect according to its terms.</w:t>
      </w:r>
    </w:p>
    <w:p>
      <w:pPr>
        <w:pStyle w:val="Heading5"/>
        <w:rPr>
          <w:snapToGrid w:val="0"/>
        </w:rPr>
      </w:pPr>
      <w:bookmarkStart w:id="98" w:name="_Toc479743306"/>
      <w:bookmarkStart w:id="99" w:name="_Toc122252532"/>
      <w:bookmarkStart w:id="100" w:name="_Toc122252638"/>
      <w:bookmarkStart w:id="101" w:name="_Toc159746500"/>
      <w:r>
        <w:rPr>
          <w:rStyle w:val="CharSectno"/>
        </w:rPr>
        <w:t>15</w:t>
      </w:r>
      <w:r>
        <w:rPr>
          <w:snapToGrid w:val="0"/>
        </w:rPr>
        <w:t>.</w:t>
      </w:r>
      <w:r>
        <w:rPr>
          <w:snapToGrid w:val="0"/>
        </w:rPr>
        <w:tab/>
        <w:t>Act does not limit the practice of registered health professionals</w:t>
      </w:r>
      <w:bookmarkEnd w:id="98"/>
      <w:bookmarkEnd w:id="99"/>
      <w:bookmarkEnd w:id="100"/>
      <w:bookmarkEnd w:id="101"/>
      <w:r>
        <w:rPr>
          <w:snapToGrid w:val="0"/>
        </w:rPr>
        <w:t xml:space="preserve"> </w:t>
      </w:r>
    </w:p>
    <w:p>
      <w:pPr>
        <w:pStyle w:val="Subsection"/>
        <w:rPr>
          <w:snapToGrid w:val="0"/>
        </w:rPr>
      </w:pPr>
      <w:r>
        <w:rPr>
          <w:snapToGrid w:val="0"/>
        </w:rPr>
        <w:tab/>
      </w:r>
      <w:r>
        <w:rPr>
          <w:snapToGrid w:val="0"/>
        </w:rPr>
        <w:tab/>
        <w:t>This Act does not prejudice or affect the lawful occupation, trade or business of any person who is registered.</w:t>
      </w:r>
    </w:p>
    <w:p>
      <w:pPr>
        <w:pStyle w:val="Heading5"/>
        <w:rPr>
          <w:snapToGrid w:val="0"/>
        </w:rPr>
      </w:pPr>
      <w:bookmarkStart w:id="102" w:name="_Toc479743307"/>
      <w:bookmarkStart w:id="103" w:name="_Toc122252533"/>
      <w:bookmarkStart w:id="104" w:name="_Toc122252639"/>
      <w:bookmarkStart w:id="105" w:name="_Toc159746501"/>
      <w:r>
        <w:rPr>
          <w:rStyle w:val="CharSectno"/>
        </w:rPr>
        <w:t>16</w:t>
      </w:r>
      <w:r>
        <w:rPr>
          <w:snapToGrid w:val="0"/>
        </w:rPr>
        <w:t>.</w:t>
      </w:r>
      <w:r>
        <w:rPr>
          <w:snapToGrid w:val="0"/>
        </w:rPr>
        <w:tab/>
        <w:t>Regulations</w:t>
      </w:r>
      <w:bookmarkEnd w:id="102"/>
      <w:bookmarkEnd w:id="103"/>
      <w:bookmarkEnd w:id="104"/>
      <w:bookmarkEnd w:id="105"/>
      <w:r>
        <w:rPr>
          <w:snapToGrid w:val="0"/>
        </w:rPr>
        <w:t xml:space="preserve"> </w:t>
      </w:r>
    </w:p>
    <w:p>
      <w:pPr>
        <w:pStyle w:val="Subsection"/>
        <w:rPr>
          <w:snapToGrid w:val="0"/>
        </w:rPr>
      </w:pPr>
      <w:r>
        <w:rPr>
          <w:snapToGrid w:val="0"/>
        </w:rPr>
        <w:tab/>
        <w:t>(1)</w:t>
      </w:r>
      <w:r>
        <w:rPr>
          <w:snapToGrid w:val="0"/>
        </w:rPr>
        <w:tab/>
        <w:t>The Governor may make regulations prescribing all matters required or permitted by this Act to be prescribed or necessary or convenient to be prescribed for carrying out this Act.</w:t>
      </w:r>
    </w:p>
    <w:p>
      <w:pPr>
        <w:pStyle w:val="Subsection"/>
        <w:rPr>
          <w:snapToGrid w:val="0"/>
        </w:rPr>
      </w:pPr>
      <w:r>
        <w:rPr>
          <w:snapToGrid w:val="0"/>
        </w:rPr>
        <w:tab/>
        <w:t>(2)</w:t>
      </w:r>
      <w:r>
        <w:rPr>
          <w:snapToGrid w:val="0"/>
        </w:rPr>
        <w:tab/>
        <w:t>A regulation may create an offence punishable by a penalty not exceeding $1 000.</w:t>
      </w:r>
    </w:p>
    <w:p>
      <w:pPr>
        <w:pStyle w:val="Heading5"/>
        <w:rPr>
          <w:snapToGrid w:val="0"/>
        </w:rPr>
      </w:pPr>
      <w:bookmarkStart w:id="106" w:name="_Toc479743308"/>
      <w:bookmarkStart w:id="107" w:name="_Toc122252534"/>
      <w:bookmarkStart w:id="108" w:name="_Toc122252640"/>
      <w:bookmarkStart w:id="109" w:name="_Toc159746502"/>
      <w:r>
        <w:rPr>
          <w:rStyle w:val="CharSectno"/>
        </w:rPr>
        <w:t>17</w:t>
      </w:r>
      <w:r>
        <w:rPr>
          <w:snapToGrid w:val="0"/>
        </w:rPr>
        <w:t>.</w:t>
      </w:r>
      <w:r>
        <w:rPr>
          <w:snapToGrid w:val="0"/>
        </w:rPr>
        <w:tab/>
        <w:t>Review of Act</w:t>
      </w:r>
      <w:bookmarkEnd w:id="106"/>
      <w:bookmarkEnd w:id="107"/>
      <w:bookmarkEnd w:id="108"/>
      <w:bookmarkEnd w:id="109"/>
      <w:r>
        <w:rPr>
          <w:snapToGrid w:val="0"/>
        </w:rPr>
        <w:t xml:space="preserve"> </w:t>
      </w:r>
    </w:p>
    <w:p>
      <w:pPr>
        <w:pStyle w:val="Subsection"/>
        <w:rPr>
          <w:snapToGrid w:val="0"/>
        </w:rPr>
      </w:pPr>
      <w:r>
        <w:rPr>
          <w:snapToGrid w:val="0"/>
        </w:rPr>
        <w:tab/>
        <w:t>(1)</w:t>
      </w:r>
      <w:r>
        <w:rPr>
          <w:snapToGrid w:val="0"/>
        </w:rPr>
        <w:tab/>
        <w:t>The Minister is to carry out a review of the operation and effectiveness of this Act as soon as is practicable after the expiry of 5 years from its commencement.</w:t>
      </w:r>
    </w:p>
    <w:p>
      <w:pPr>
        <w:pStyle w:val="Subsection"/>
        <w:rPr>
          <w:snapToGrid w:val="0"/>
        </w:rPr>
      </w:pPr>
      <w:r>
        <w:rPr>
          <w:snapToGrid w:val="0"/>
        </w:rPr>
        <w:tab/>
        <w:t>(2)</w:t>
      </w:r>
      <w:r>
        <w:rPr>
          <w:snapToGrid w:val="0"/>
        </w:rPr>
        <w:tab/>
        <w:t>The Minister is to prepare a report based on the review and, as soon as is practicable after the report is prepared, (and in any event not more than 12 months after the expiration of the 5 year period referred to in subsection (1)) is to cause the report to be laid before each House of Parliament.</w:t>
      </w:r>
    </w:p>
    <w:p>
      <w:pPr>
        <w:rPr>
          <w:rStyle w:val="CharDivText"/>
        </w:rPr>
        <w:sectPr>
          <w:headerReference w:type="even" r:id="rId19"/>
          <w:headerReference w:type="default" r:id="rId20"/>
          <w:footerReference w:type="even" r:id="rId21"/>
          <w:footerReference w:type="default" r:id="rId22"/>
          <w:headerReference w:type="first" r:id="rId23"/>
          <w:footerReference w:type="first" r:id="rId24"/>
          <w:pgSz w:w="11906" w:h="16838" w:code="9"/>
          <w:pgMar w:top="2376" w:right="2405" w:bottom="3542" w:left="2405" w:header="706" w:footer="3380" w:gutter="0"/>
          <w:pgNumType w:start="1"/>
          <w:cols w:space="720"/>
          <w:noEndnote/>
          <w:titlePg/>
          <w:docGrid w:linePitch="326"/>
        </w:sectPr>
      </w:pPr>
    </w:p>
    <w:p>
      <w:pPr>
        <w:pStyle w:val="nHeading2"/>
      </w:pPr>
      <w:bookmarkStart w:id="110" w:name="_Toc122252421"/>
      <w:bookmarkStart w:id="111" w:name="_Toc122252509"/>
      <w:bookmarkStart w:id="112" w:name="_Toc122252535"/>
      <w:bookmarkStart w:id="113" w:name="_Toc122252618"/>
      <w:bookmarkStart w:id="114" w:name="_Toc122252641"/>
      <w:bookmarkStart w:id="115" w:name="_Toc122252744"/>
      <w:bookmarkStart w:id="116" w:name="_Toc122852225"/>
      <w:bookmarkStart w:id="117" w:name="_Toc122853557"/>
      <w:bookmarkStart w:id="118" w:name="_Toc122854063"/>
      <w:bookmarkStart w:id="119" w:name="_Toc122926419"/>
      <w:bookmarkStart w:id="120" w:name="_Toc122940338"/>
      <w:bookmarkStart w:id="121" w:name="_Toc135132404"/>
      <w:bookmarkStart w:id="122" w:name="_Toc159746503"/>
      <w:r>
        <w:t>Notes</w:t>
      </w:r>
      <w:bookmarkEnd w:id="110"/>
      <w:bookmarkEnd w:id="111"/>
      <w:bookmarkEnd w:id="112"/>
      <w:bookmarkEnd w:id="113"/>
      <w:bookmarkEnd w:id="114"/>
      <w:bookmarkEnd w:id="115"/>
      <w:bookmarkEnd w:id="116"/>
      <w:bookmarkEnd w:id="117"/>
      <w:bookmarkEnd w:id="118"/>
      <w:bookmarkEnd w:id="119"/>
      <w:bookmarkEnd w:id="120"/>
      <w:bookmarkEnd w:id="121"/>
      <w:bookmarkEnd w:id="122"/>
    </w:p>
    <w:p>
      <w:pPr>
        <w:pStyle w:val="nSubsection"/>
        <w:rPr>
          <w:snapToGrid w:val="0"/>
        </w:rPr>
      </w:pPr>
      <w:r>
        <w:rPr>
          <w:snapToGrid w:val="0"/>
          <w:vertAlign w:val="superscript"/>
        </w:rPr>
        <w:t>1</w:t>
      </w:r>
      <w:r>
        <w:rPr>
          <w:snapToGrid w:val="0"/>
        </w:rPr>
        <w:tab/>
        <w:t xml:space="preserve">This is a compilation of the </w:t>
      </w:r>
      <w:r>
        <w:rPr>
          <w:i/>
          <w:snapToGrid w:val="0"/>
        </w:rPr>
        <w:t>Health Professionals (Special Events Exemption) Act 2000</w:t>
      </w:r>
      <w:r>
        <w:rPr>
          <w:snapToGrid w:val="0"/>
        </w:rPr>
        <w:t xml:space="preserve"> and includes the amendments made by the other written laws referred to in the following table </w:t>
      </w:r>
      <w:r>
        <w:rPr>
          <w:snapToGrid w:val="0"/>
          <w:vertAlign w:val="superscript"/>
        </w:rPr>
        <w:t>1a</w:t>
      </w:r>
      <w:r>
        <w:rPr>
          <w:snapToGrid w:val="0"/>
        </w:rPr>
        <w:t>.</w:t>
      </w:r>
    </w:p>
    <w:p>
      <w:pPr>
        <w:pStyle w:val="nHeading3"/>
        <w:rPr>
          <w:snapToGrid w:val="0"/>
        </w:rPr>
      </w:pPr>
      <w:bookmarkStart w:id="123" w:name="_Toc122252642"/>
      <w:bookmarkStart w:id="124" w:name="_Toc159746504"/>
      <w:r>
        <w:rPr>
          <w:snapToGrid w:val="0"/>
        </w:rPr>
        <w:t>Compilation table</w:t>
      </w:r>
      <w:bookmarkEnd w:id="123"/>
      <w:bookmarkEnd w:id="124"/>
    </w:p>
    <w:tbl>
      <w:tblPr>
        <w:tblW w:w="0" w:type="auto"/>
        <w:tblInd w:w="28" w:type="dxa"/>
        <w:tblLayout w:type="fixed"/>
        <w:tblCellMar>
          <w:left w:w="28" w:type="dxa"/>
          <w:right w:w="28" w:type="dxa"/>
        </w:tblCellMar>
        <w:tblLook w:val="0000" w:firstRow="0" w:lastRow="0" w:firstColumn="0" w:lastColumn="0" w:noHBand="0" w:noVBand="0"/>
      </w:tblPr>
      <w:tblGrid>
        <w:gridCol w:w="2268"/>
        <w:gridCol w:w="1134"/>
        <w:gridCol w:w="1134"/>
        <w:gridCol w:w="2552"/>
        <w:gridCol w:w="11"/>
      </w:tblGrid>
      <w:tr>
        <w:trPr>
          <w:tblHeader/>
        </w:trPr>
        <w:tc>
          <w:tcPr>
            <w:tcW w:w="2268" w:type="dxa"/>
            <w:tcBorders>
              <w:top w:val="single" w:sz="4" w:space="0" w:color="auto"/>
            </w:tcBorders>
          </w:tcPr>
          <w:p>
            <w:pPr>
              <w:pStyle w:val="nTable"/>
              <w:rPr>
                <w:b/>
                <w:bCs/>
              </w:rPr>
            </w:pPr>
            <w:r>
              <w:rPr>
                <w:b/>
                <w:bCs/>
              </w:rPr>
              <w:t>Short title</w:t>
            </w:r>
          </w:p>
        </w:tc>
        <w:tc>
          <w:tcPr>
            <w:tcW w:w="1134" w:type="dxa"/>
            <w:tcBorders>
              <w:top w:val="single" w:sz="4" w:space="0" w:color="auto"/>
            </w:tcBorders>
          </w:tcPr>
          <w:p>
            <w:pPr>
              <w:pStyle w:val="nTable"/>
              <w:rPr>
                <w:b/>
                <w:bCs/>
              </w:rPr>
            </w:pPr>
            <w:r>
              <w:rPr>
                <w:b/>
                <w:bCs/>
              </w:rPr>
              <w:t>Number and Year</w:t>
            </w:r>
          </w:p>
        </w:tc>
        <w:tc>
          <w:tcPr>
            <w:tcW w:w="1134" w:type="dxa"/>
            <w:tcBorders>
              <w:top w:val="single" w:sz="4" w:space="0" w:color="auto"/>
            </w:tcBorders>
          </w:tcPr>
          <w:p>
            <w:pPr>
              <w:pStyle w:val="nTable"/>
              <w:rPr>
                <w:b/>
                <w:bCs/>
              </w:rPr>
            </w:pPr>
            <w:r>
              <w:rPr>
                <w:b/>
                <w:bCs/>
              </w:rPr>
              <w:t>Assent</w:t>
            </w:r>
          </w:p>
        </w:tc>
        <w:tc>
          <w:tcPr>
            <w:tcW w:w="2563" w:type="dxa"/>
            <w:gridSpan w:val="2"/>
            <w:tcBorders>
              <w:top w:val="single" w:sz="4" w:space="0" w:color="auto"/>
            </w:tcBorders>
          </w:tcPr>
          <w:p>
            <w:pPr>
              <w:pStyle w:val="nTable"/>
              <w:rPr>
                <w:b/>
                <w:bCs/>
              </w:rPr>
            </w:pPr>
            <w:r>
              <w:rPr>
                <w:b/>
                <w:bCs/>
              </w:rPr>
              <w:t>Commencement</w:t>
            </w:r>
          </w:p>
        </w:tc>
      </w:tr>
      <w:tr>
        <w:tc>
          <w:tcPr>
            <w:tcW w:w="2268" w:type="dxa"/>
            <w:tcBorders>
              <w:top w:val="single" w:sz="4" w:space="0" w:color="auto"/>
            </w:tcBorders>
          </w:tcPr>
          <w:p>
            <w:pPr>
              <w:pStyle w:val="nTable"/>
            </w:pPr>
            <w:r>
              <w:rPr>
                <w:i/>
                <w:snapToGrid w:val="0"/>
              </w:rPr>
              <w:t>Health Professionals (Special Events Exemption) Act 2000</w:t>
            </w:r>
          </w:p>
        </w:tc>
        <w:tc>
          <w:tcPr>
            <w:tcW w:w="1134" w:type="dxa"/>
            <w:tcBorders>
              <w:top w:val="single" w:sz="4" w:space="0" w:color="auto"/>
            </w:tcBorders>
          </w:tcPr>
          <w:p>
            <w:pPr>
              <w:pStyle w:val="nTable"/>
            </w:pPr>
            <w:r>
              <w:t>7 of 2000</w:t>
            </w:r>
          </w:p>
        </w:tc>
        <w:tc>
          <w:tcPr>
            <w:tcW w:w="1134" w:type="dxa"/>
            <w:tcBorders>
              <w:top w:val="single" w:sz="4" w:space="0" w:color="auto"/>
            </w:tcBorders>
          </w:tcPr>
          <w:p>
            <w:pPr>
              <w:pStyle w:val="nTable"/>
            </w:pPr>
            <w:r>
              <w:t>14 Apr 2000</w:t>
            </w:r>
          </w:p>
        </w:tc>
        <w:tc>
          <w:tcPr>
            <w:tcW w:w="2563" w:type="dxa"/>
            <w:gridSpan w:val="2"/>
            <w:tcBorders>
              <w:top w:val="single" w:sz="4" w:space="0" w:color="auto"/>
            </w:tcBorders>
          </w:tcPr>
          <w:p>
            <w:pPr>
              <w:pStyle w:val="nTable"/>
            </w:pPr>
            <w:r>
              <w:t>14 Apr 2000 (see s. 2)</w:t>
            </w:r>
          </w:p>
        </w:tc>
      </w:tr>
      <w:tr>
        <w:tblPrEx>
          <w:tblCellMar>
            <w:left w:w="56" w:type="dxa"/>
            <w:right w:w="56" w:type="dxa"/>
          </w:tblCellMar>
        </w:tblPrEx>
        <w:trPr>
          <w:gridAfter w:val="1"/>
          <w:wAfter w:w="11" w:type="dxa"/>
        </w:trPr>
        <w:tc>
          <w:tcPr>
            <w:tcW w:w="2268" w:type="dxa"/>
          </w:tcPr>
          <w:p>
            <w:pPr>
              <w:pStyle w:val="nTable"/>
              <w:spacing w:after="40"/>
              <w:ind w:right="113"/>
              <w:rPr>
                <w:i/>
                <w:snapToGrid w:val="0"/>
                <w:sz w:val="19"/>
                <w:lang w:val="en-US"/>
              </w:rPr>
            </w:pPr>
            <w:r>
              <w:rPr>
                <w:i/>
                <w:noProof/>
                <w:snapToGrid w:val="0"/>
                <w:sz w:val="19"/>
              </w:rPr>
              <w:t>Physiotherapists Act 2005</w:t>
            </w:r>
            <w:r>
              <w:rPr>
                <w:iCs/>
                <w:noProof/>
                <w:snapToGrid w:val="0"/>
                <w:sz w:val="19"/>
              </w:rPr>
              <w:t xml:space="preserve"> s. 109</w:t>
            </w:r>
          </w:p>
        </w:tc>
        <w:tc>
          <w:tcPr>
            <w:tcW w:w="1134" w:type="dxa"/>
          </w:tcPr>
          <w:p>
            <w:pPr>
              <w:pStyle w:val="nTable"/>
              <w:spacing w:after="40"/>
              <w:rPr>
                <w:snapToGrid w:val="0"/>
                <w:sz w:val="19"/>
                <w:lang w:val="en-US"/>
              </w:rPr>
            </w:pPr>
            <w:r>
              <w:rPr>
                <w:sz w:val="19"/>
              </w:rPr>
              <w:t>32 of 2005</w:t>
            </w:r>
          </w:p>
        </w:tc>
        <w:tc>
          <w:tcPr>
            <w:tcW w:w="1134" w:type="dxa"/>
          </w:tcPr>
          <w:p>
            <w:pPr>
              <w:pStyle w:val="nTable"/>
              <w:spacing w:after="40"/>
              <w:rPr>
                <w:snapToGrid w:val="0"/>
                <w:sz w:val="19"/>
                <w:lang w:val="en-US"/>
              </w:rPr>
            </w:pPr>
            <w:r>
              <w:rPr>
                <w:sz w:val="19"/>
              </w:rPr>
              <w:t>12 Dec 2005</w:t>
            </w:r>
          </w:p>
        </w:tc>
        <w:tc>
          <w:tcPr>
            <w:tcW w:w="2552" w:type="dxa"/>
          </w:tcPr>
          <w:p>
            <w:pPr>
              <w:pStyle w:val="nTable"/>
              <w:spacing w:after="40"/>
              <w:rPr>
                <w:snapToGrid w:val="0"/>
                <w:sz w:val="19"/>
                <w:lang w:val="en-US"/>
              </w:rPr>
            </w:pPr>
            <w:r>
              <w:rPr>
                <w:sz w:val="19"/>
              </w:rPr>
              <w:t xml:space="preserve">23 Feb 2007 (see s. 2 and </w:t>
            </w:r>
            <w:r>
              <w:rPr>
                <w:i/>
                <w:iCs/>
                <w:sz w:val="19"/>
              </w:rPr>
              <w:t xml:space="preserve">Gazette </w:t>
            </w:r>
            <w:r>
              <w:rPr>
                <w:sz w:val="19"/>
              </w:rPr>
              <w:t>20 Feb 2007 p. 505)</w:t>
            </w:r>
          </w:p>
        </w:tc>
      </w:tr>
      <w:tr>
        <w:tc>
          <w:tcPr>
            <w:tcW w:w="2268" w:type="dxa"/>
            <w:tcBorders>
              <w:bottom w:val="single" w:sz="4" w:space="0" w:color="auto"/>
            </w:tcBorders>
          </w:tcPr>
          <w:p>
            <w:pPr>
              <w:pStyle w:val="nTable"/>
              <w:rPr>
                <w:iCs/>
                <w:snapToGrid w:val="0"/>
              </w:rPr>
            </w:pPr>
            <w:r>
              <w:rPr>
                <w:i/>
                <w:snapToGrid w:val="0"/>
              </w:rPr>
              <w:t>Optical Dispensers Repeal Act 2006</w:t>
            </w:r>
            <w:r>
              <w:rPr>
                <w:iCs/>
                <w:snapToGrid w:val="0"/>
              </w:rPr>
              <w:t xml:space="preserve"> s. 4</w:t>
            </w:r>
          </w:p>
        </w:tc>
        <w:tc>
          <w:tcPr>
            <w:tcW w:w="1134" w:type="dxa"/>
            <w:tcBorders>
              <w:bottom w:val="single" w:sz="4" w:space="0" w:color="auto"/>
            </w:tcBorders>
          </w:tcPr>
          <w:p>
            <w:pPr>
              <w:pStyle w:val="nTable"/>
            </w:pPr>
            <w:r>
              <w:t>11 of 2006</w:t>
            </w:r>
          </w:p>
        </w:tc>
        <w:tc>
          <w:tcPr>
            <w:tcW w:w="1134" w:type="dxa"/>
            <w:tcBorders>
              <w:bottom w:val="single" w:sz="4" w:space="0" w:color="auto"/>
            </w:tcBorders>
          </w:tcPr>
          <w:p>
            <w:pPr>
              <w:pStyle w:val="nTable"/>
            </w:pPr>
            <w:r>
              <w:t>11 May 2006</w:t>
            </w:r>
          </w:p>
        </w:tc>
        <w:tc>
          <w:tcPr>
            <w:tcW w:w="2563" w:type="dxa"/>
            <w:gridSpan w:val="2"/>
            <w:tcBorders>
              <w:bottom w:val="single" w:sz="4" w:space="0" w:color="auto"/>
            </w:tcBorders>
          </w:tcPr>
          <w:p>
            <w:pPr>
              <w:pStyle w:val="nTable"/>
            </w:pPr>
            <w:r>
              <w:t>11 May 2006 (see s. 2)</w:t>
            </w:r>
          </w:p>
        </w:tc>
      </w:tr>
    </w:tbl>
    <w:p>
      <w:pPr>
        <w:pStyle w:val="nSubsection"/>
        <w:rPr>
          <w:snapToGrid w:val="0"/>
          <w:vertAlign w:val="superscript"/>
        </w:rPr>
      </w:pPr>
    </w:p>
    <w:p>
      <w:pPr>
        <w:pStyle w:val="nSubsection"/>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125" w:name="_Toc534778309"/>
      <w:bookmarkStart w:id="126" w:name="_Toc7405063"/>
      <w:bookmarkStart w:id="127" w:name="_Toc117408453"/>
      <w:bookmarkStart w:id="128" w:name="_Toc122252643"/>
      <w:bookmarkStart w:id="129" w:name="_Toc159746505"/>
      <w:r>
        <w:rPr>
          <w:snapToGrid w:val="0"/>
        </w:rPr>
        <w:t>Provisions that have not come into operation</w:t>
      </w:r>
      <w:bookmarkEnd w:id="125"/>
      <w:bookmarkEnd w:id="126"/>
      <w:bookmarkEnd w:id="127"/>
      <w:bookmarkEnd w:id="128"/>
      <w:bookmarkEnd w:id="129"/>
    </w:p>
    <w:tbl>
      <w:tblPr>
        <w:tblW w:w="0" w:type="auto"/>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268"/>
        <w:gridCol w:w="1134"/>
        <w:gridCol w:w="1134"/>
        <w:gridCol w:w="2552"/>
      </w:tblGrid>
      <w:tr>
        <w:tc>
          <w:tcPr>
            <w:tcW w:w="2268" w:type="dxa"/>
          </w:tcPr>
          <w:p>
            <w:pPr>
              <w:pStyle w:val="nTable"/>
              <w:rPr>
                <w:b/>
                <w:snapToGrid w:val="0"/>
                <w:lang w:val="en-US"/>
              </w:rPr>
            </w:pPr>
            <w:r>
              <w:rPr>
                <w:b/>
                <w:snapToGrid w:val="0"/>
                <w:lang w:val="en-US"/>
              </w:rPr>
              <w:t>Short title</w:t>
            </w:r>
          </w:p>
        </w:tc>
        <w:tc>
          <w:tcPr>
            <w:tcW w:w="1134" w:type="dxa"/>
          </w:tcPr>
          <w:p>
            <w:pPr>
              <w:pStyle w:val="nTable"/>
              <w:rPr>
                <w:b/>
                <w:snapToGrid w:val="0"/>
                <w:lang w:val="en-US"/>
              </w:rPr>
            </w:pPr>
            <w:r>
              <w:rPr>
                <w:b/>
                <w:snapToGrid w:val="0"/>
                <w:lang w:val="en-US"/>
              </w:rPr>
              <w:t>Number and year</w:t>
            </w:r>
          </w:p>
        </w:tc>
        <w:tc>
          <w:tcPr>
            <w:tcW w:w="1134" w:type="dxa"/>
          </w:tcPr>
          <w:p>
            <w:pPr>
              <w:pStyle w:val="nTable"/>
              <w:rPr>
                <w:b/>
                <w:snapToGrid w:val="0"/>
                <w:lang w:val="en-US"/>
              </w:rPr>
            </w:pPr>
            <w:r>
              <w:rPr>
                <w:b/>
                <w:snapToGrid w:val="0"/>
                <w:lang w:val="en-US"/>
              </w:rPr>
              <w:t>Assent</w:t>
            </w:r>
          </w:p>
        </w:tc>
        <w:tc>
          <w:tcPr>
            <w:tcW w:w="2552" w:type="dxa"/>
          </w:tcPr>
          <w:p>
            <w:pPr>
              <w:pStyle w:val="nTable"/>
              <w:rPr>
                <w:b/>
                <w:snapToGrid w:val="0"/>
                <w:lang w:val="en-US"/>
              </w:rPr>
            </w:pPr>
            <w:r>
              <w:rPr>
                <w:b/>
                <w:snapToGrid w:val="0"/>
                <w:lang w:val="en-US"/>
              </w:rPr>
              <w:t>Commencement</w:t>
            </w:r>
          </w:p>
        </w:tc>
      </w:tr>
      <w:tr>
        <w:tblPrEx>
          <w:tblBorders>
            <w:top w:val="none" w:sz="0" w:space="0" w:color="auto"/>
            <w:bottom w:val="none" w:sz="0" w:space="0" w:color="auto"/>
            <w:insideH w:val="none" w:sz="0" w:space="0" w:color="auto"/>
          </w:tblBorders>
          <w:tblCellMar>
            <w:left w:w="56" w:type="dxa"/>
            <w:right w:w="56" w:type="dxa"/>
          </w:tblCellMar>
        </w:tblPrEx>
        <w:tc>
          <w:tcPr>
            <w:tcW w:w="2268" w:type="dxa"/>
            <w:tcBorders>
              <w:top w:val="single" w:sz="4" w:space="0" w:color="auto"/>
            </w:tcBorders>
          </w:tcPr>
          <w:p>
            <w:pPr>
              <w:pStyle w:val="nTable"/>
              <w:spacing w:before="100"/>
              <w:rPr>
                <w:iCs/>
                <w:vertAlign w:val="superscript"/>
              </w:rPr>
            </w:pPr>
            <w:r>
              <w:rPr>
                <w:i/>
                <w:noProof/>
                <w:snapToGrid w:val="0"/>
              </w:rPr>
              <w:t>Psychologists Act 2005</w:t>
            </w:r>
            <w:r>
              <w:rPr>
                <w:iCs/>
                <w:noProof/>
                <w:snapToGrid w:val="0"/>
              </w:rPr>
              <w:t xml:space="preserve"> s. 108 </w:t>
            </w:r>
            <w:r>
              <w:rPr>
                <w:iCs/>
                <w:noProof/>
                <w:snapToGrid w:val="0"/>
                <w:vertAlign w:val="superscript"/>
              </w:rPr>
              <w:t>2</w:t>
            </w:r>
          </w:p>
        </w:tc>
        <w:tc>
          <w:tcPr>
            <w:tcW w:w="1134" w:type="dxa"/>
            <w:tcBorders>
              <w:top w:val="single" w:sz="4" w:space="0" w:color="auto"/>
            </w:tcBorders>
          </w:tcPr>
          <w:p>
            <w:pPr>
              <w:pStyle w:val="nTable"/>
              <w:spacing w:before="100"/>
            </w:pPr>
            <w:r>
              <w:t>28 of 2005</w:t>
            </w:r>
          </w:p>
        </w:tc>
        <w:tc>
          <w:tcPr>
            <w:tcW w:w="1134" w:type="dxa"/>
            <w:tcBorders>
              <w:top w:val="single" w:sz="4" w:space="0" w:color="auto"/>
            </w:tcBorders>
          </w:tcPr>
          <w:p>
            <w:pPr>
              <w:pStyle w:val="nTable"/>
              <w:spacing w:before="100"/>
            </w:pPr>
            <w:r>
              <w:t>12 Dec 2005</w:t>
            </w:r>
          </w:p>
        </w:tc>
        <w:tc>
          <w:tcPr>
            <w:tcW w:w="2552" w:type="dxa"/>
            <w:tcBorders>
              <w:top w:val="single" w:sz="4" w:space="0" w:color="auto"/>
            </w:tcBorders>
          </w:tcPr>
          <w:p>
            <w:pPr>
              <w:pStyle w:val="nTable"/>
              <w:spacing w:before="100"/>
            </w:pPr>
            <w:r>
              <w:t>To be proclaimed (see s. 2)</w:t>
            </w:r>
          </w:p>
        </w:tc>
      </w:tr>
      <w:tr>
        <w:tblPrEx>
          <w:tblBorders>
            <w:top w:val="none" w:sz="0" w:space="0" w:color="auto"/>
            <w:bottom w:val="none" w:sz="0" w:space="0" w:color="auto"/>
            <w:insideH w:val="none" w:sz="0" w:space="0" w:color="auto"/>
          </w:tblBorders>
          <w:tblCellMar>
            <w:left w:w="56" w:type="dxa"/>
            <w:right w:w="56" w:type="dxa"/>
          </w:tblCellMar>
        </w:tblPrEx>
        <w:tc>
          <w:tcPr>
            <w:tcW w:w="2268" w:type="dxa"/>
          </w:tcPr>
          <w:p>
            <w:pPr>
              <w:pStyle w:val="nTable"/>
              <w:spacing w:before="100"/>
              <w:rPr>
                <w:iCs/>
                <w:vertAlign w:val="superscript"/>
              </w:rPr>
            </w:pPr>
            <w:r>
              <w:rPr>
                <w:i/>
                <w:noProof/>
                <w:snapToGrid w:val="0"/>
              </w:rPr>
              <w:t>Optometrists Act 2005</w:t>
            </w:r>
            <w:r>
              <w:rPr>
                <w:iCs/>
                <w:noProof/>
                <w:snapToGrid w:val="0"/>
              </w:rPr>
              <w:t xml:space="preserve"> s. 109 </w:t>
            </w:r>
            <w:r>
              <w:rPr>
                <w:iCs/>
                <w:noProof/>
                <w:snapToGrid w:val="0"/>
                <w:vertAlign w:val="superscript"/>
              </w:rPr>
              <w:t>3</w:t>
            </w:r>
          </w:p>
        </w:tc>
        <w:tc>
          <w:tcPr>
            <w:tcW w:w="1134" w:type="dxa"/>
          </w:tcPr>
          <w:p>
            <w:pPr>
              <w:pStyle w:val="nTable"/>
              <w:spacing w:before="100"/>
            </w:pPr>
            <w:r>
              <w:t>29 of 2005</w:t>
            </w:r>
          </w:p>
        </w:tc>
        <w:tc>
          <w:tcPr>
            <w:tcW w:w="1134" w:type="dxa"/>
          </w:tcPr>
          <w:p>
            <w:pPr>
              <w:pStyle w:val="nTable"/>
              <w:spacing w:before="100"/>
            </w:pPr>
            <w:r>
              <w:t>12 Dec 2005</w:t>
            </w:r>
          </w:p>
        </w:tc>
        <w:tc>
          <w:tcPr>
            <w:tcW w:w="2552" w:type="dxa"/>
          </w:tcPr>
          <w:p>
            <w:pPr>
              <w:pStyle w:val="nTable"/>
              <w:spacing w:before="100"/>
            </w:pPr>
            <w:r>
              <w:t>To be proclaimed (see s. 2)</w:t>
            </w:r>
          </w:p>
        </w:tc>
      </w:tr>
      <w:tr>
        <w:tblPrEx>
          <w:tblBorders>
            <w:top w:val="none" w:sz="0" w:space="0" w:color="auto"/>
            <w:bottom w:val="none" w:sz="0" w:space="0" w:color="auto"/>
            <w:insideH w:val="none" w:sz="0" w:space="0" w:color="auto"/>
          </w:tblBorders>
          <w:tblCellMar>
            <w:left w:w="56" w:type="dxa"/>
            <w:right w:w="56" w:type="dxa"/>
          </w:tblCellMar>
        </w:tblPrEx>
        <w:tc>
          <w:tcPr>
            <w:tcW w:w="2268" w:type="dxa"/>
          </w:tcPr>
          <w:p>
            <w:pPr>
              <w:pStyle w:val="nTable"/>
              <w:spacing w:before="100"/>
              <w:rPr>
                <w:i/>
                <w:noProof/>
                <w:snapToGrid w:val="0"/>
              </w:rPr>
            </w:pPr>
            <w:r>
              <w:rPr>
                <w:i/>
                <w:noProof/>
                <w:snapToGrid w:val="0"/>
              </w:rPr>
              <w:t>Podiatrists Act 2005</w:t>
            </w:r>
            <w:r>
              <w:rPr>
                <w:noProof/>
                <w:snapToGrid w:val="0"/>
              </w:rPr>
              <w:t xml:space="preserve"> s. 109 </w:t>
            </w:r>
            <w:r>
              <w:rPr>
                <w:noProof/>
                <w:snapToGrid w:val="0"/>
                <w:vertAlign w:val="superscript"/>
              </w:rPr>
              <w:t>4</w:t>
            </w:r>
          </w:p>
        </w:tc>
        <w:tc>
          <w:tcPr>
            <w:tcW w:w="1134" w:type="dxa"/>
          </w:tcPr>
          <w:p>
            <w:pPr>
              <w:pStyle w:val="nTable"/>
              <w:spacing w:before="100"/>
            </w:pPr>
            <w:r>
              <w:t>30 of 2005</w:t>
            </w:r>
          </w:p>
        </w:tc>
        <w:tc>
          <w:tcPr>
            <w:tcW w:w="1134" w:type="dxa"/>
          </w:tcPr>
          <w:p>
            <w:pPr>
              <w:pStyle w:val="nTable"/>
              <w:spacing w:before="100"/>
            </w:pPr>
            <w:r>
              <w:t>12 Dec 2005</w:t>
            </w:r>
          </w:p>
        </w:tc>
        <w:tc>
          <w:tcPr>
            <w:tcW w:w="2552" w:type="dxa"/>
          </w:tcPr>
          <w:p>
            <w:pPr>
              <w:pStyle w:val="nTable"/>
              <w:spacing w:before="100"/>
            </w:pPr>
            <w:r>
              <w:t>To be proclaimed (see s. 2)</w:t>
            </w:r>
          </w:p>
        </w:tc>
      </w:tr>
      <w:tr>
        <w:tblPrEx>
          <w:tblBorders>
            <w:top w:val="none" w:sz="0" w:space="0" w:color="auto"/>
            <w:bottom w:val="none" w:sz="0" w:space="0" w:color="auto"/>
            <w:insideH w:val="none" w:sz="0" w:space="0" w:color="auto"/>
          </w:tblBorders>
          <w:tblCellMar>
            <w:left w:w="56" w:type="dxa"/>
            <w:right w:w="56" w:type="dxa"/>
          </w:tblCellMar>
        </w:tblPrEx>
        <w:tc>
          <w:tcPr>
            <w:tcW w:w="2268" w:type="dxa"/>
          </w:tcPr>
          <w:p>
            <w:pPr>
              <w:pStyle w:val="nTable"/>
              <w:spacing w:before="100"/>
              <w:rPr>
                <w:i/>
                <w:noProof/>
                <w:snapToGrid w:val="0"/>
              </w:rPr>
            </w:pPr>
            <w:r>
              <w:rPr>
                <w:i/>
                <w:noProof/>
                <w:snapToGrid w:val="0"/>
              </w:rPr>
              <w:t>Chiropractorss Act 2005</w:t>
            </w:r>
            <w:r>
              <w:rPr>
                <w:noProof/>
                <w:snapToGrid w:val="0"/>
              </w:rPr>
              <w:t xml:space="preserve"> s. 109 </w:t>
            </w:r>
            <w:r>
              <w:rPr>
                <w:noProof/>
                <w:snapToGrid w:val="0"/>
                <w:vertAlign w:val="superscript"/>
              </w:rPr>
              <w:t>5</w:t>
            </w:r>
          </w:p>
        </w:tc>
        <w:tc>
          <w:tcPr>
            <w:tcW w:w="1134" w:type="dxa"/>
          </w:tcPr>
          <w:p>
            <w:pPr>
              <w:pStyle w:val="nTable"/>
              <w:spacing w:before="100"/>
            </w:pPr>
            <w:r>
              <w:t>31 of 2005</w:t>
            </w:r>
          </w:p>
        </w:tc>
        <w:tc>
          <w:tcPr>
            <w:tcW w:w="1134" w:type="dxa"/>
          </w:tcPr>
          <w:p>
            <w:pPr>
              <w:pStyle w:val="nTable"/>
              <w:spacing w:before="100"/>
            </w:pPr>
            <w:r>
              <w:t>12 Dec 2005</w:t>
            </w:r>
          </w:p>
        </w:tc>
        <w:tc>
          <w:tcPr>
            <w:tcW w:w="2552" w:type="dxa"/>
          </w:tcPr>
          <w:p>
            <w:pPr>
              <w:pStyle w:val="nTable"/>
              <w:spacing w:before="100"/>
            </w:pPr>
            <w:r>
              <w:t>To be proclaimed (see s. 2)</w:t>
            </w:r>
          </w:p>
        </w:tc>
      </w:tr>
      <w:tr>
        <w:tblPrEx>
          <w:tblBorders>
            <w:top w:val="none" w:sz="0" w:space="0" w:color="auto"/>
            <w:bottom w:val="none" w:sz="0" w:space="0" w:color="auto"/>
            <w:insideH w:val="none" w:sz="0" w:space="0" w:color="auto"/>
          </w:tblBorders>
          <w:tblCellMar>
            <w:left w:w="56" w:type="dxa"/>
            <w:right w:w="56" w:type="dxa"/>
          </w:tblCellMar>
        </w:tblPrEx>
        <w:tc>
          <w:tcPr>
            <w:tcW w:w="2268" w:type="dxa"/>
          </w:tcPr>
          <w:p>
            <w:pPr>
              <w:pStyle w:val="nTable"/>
              <w:spacing w:before="100"/>
              <w:rPr>
                <w:i/>
                <w:noProof/>
                <w:snapToGrid w:val="0"/>
              </w:rPr>
            </w:pPr>
            <w:r>
              <w:rPr>
                <w:i/>
                <w:noProof/>
                <w:snapToGrid w:val="0"/>
              </w:rPr>
              <w:t>Osteopaths Act 2005</w:t>
            </w:r>
            <w:r>
              <w:rPr>
                <w:noProof/>
                <w:snapToGrid w:val="0"/>
              </w:rPr>
              <w:t xml:space="preserve"> s. 108 </w:t>
            </w:r>
            <w:r>
              <w:rPr>
                <w:noProof/>
                <w:snapToGrid w:val="0"/>
                <w:vertAlign w:val="superscript"/>
              </w:rPr>
              <w:t>7</w:t>
            </w:r>
          </w:p>
        </w:tc>
        <w:tc>
          <w:tcPr>
            <w:tcW w:w="1134" w:type="dxa"/>
          </w:tcPr>
          <w:p>
            <w:pPr>
              <w:pStyle w:val="nTable"/>
              <w:spacing w:before="100"/>
            </w:pPr>
            <w:r>
              <w:t>33 of 2005</w:t>
            </w:r>
          </w:p>
        </w:tc>
        <w:tc>
          <w:tcPr>
            <w:tcW w:w="1134" w:type="dxa"/>
          </w:tcPr>
          <w:p>
            <w:pPr>
              <w:pStyle w:val="nTable"/>
              <w:spacing w:before="100"/>
            </w:pPr>
            <w:r>
              <w:t>12 Dec 2005</w:t>
            </w:r>
          </w:p>
        </w:tc>
        <w:tc>
          <w:tcPr>
            <w:tcW w:w="2552" w:type="dxa"/>
          </w:tcPr>
          <w:p>
            <w:pPr>
              <w:pStyle w:val="nTable"/>
              <w:spacing w:before="100"/>
            </w:pPr>
            <w:r>
              <w:t>To be proclaimed (see s. 2)</w:t>
            </w:r>
          </w:p>
        </w:tc>
      </w:tr>
      <w:tr>
        <w:tblPrEx>
          <w:tblBorders>
            <w:top w:val="none" w:sz="0" w:space="0" w:color="auto"/>
            <w:bottom w:val="none" w:sz="0" w:space="0" w:color="auto"/>
            <w:insideH w:val="none" w:sz="0" w:space="0" w:color="auto"/>
          </w:tblBorders>
          <w:tblCellMar>
            <w:left w:w="56" w:type="dxa"/>
            <w:right w:w="56" w:type="dxa"/>
          </w:tblCellMar>
        </w:tblPrEx>
        <w:tc>
          <w:tcPr>
            <w:tcW w:w="2268" w:type="dxa"/>
          </w:tcPr>
          <w:p>
            <w:pPr>
              <w:pStyle w:val="nTable"/>
              <w:spacing w:before="100"/>
              <w:rPr>
                <w:noProof/>
                <w:snapToGrid w:val="0"/>
              </w:rPr>
            </w:pPr>
            <w:r>
              <w:rPr>
                <w:i/>
                <w:noProof/>
                <w:snapToGrid w:val="0"/>
                <w:sz w:val="19"/>
              </w:rPr>
              <w:t>Occupational Therapists Act 2005</w:t>
            </w:r>
            <w:r>
              <w:rPr>
                <w:i/>
                <w:iCs/>
                <w:noProof/>
                <w:snapToGrid w:val="0"/>
                <w:sz w:val="19"/>
              </w:rPr>
              <w:t xml:space="preserve"> </w:t>
            </w:r>
            <w:r>
              <w:rPr>
                <w:noProof/>
                <w:snapToGrid w:val="0"/>
                <w:sz w:val="19"/>
              </w:rPr>
              <w:t xml:space="preserve">s. 109 </w:t>
            </w:r>
            <w:r>
              <w:rPr>
                <w:noProof/>
                <w:snapToGrid w:val="0"/>
                <w:sz w:val="19"/>
                <w:vertAlign w:val="superscript"/>
              </w:rPr>
              <w:t>8</w:t>
            </w:r>
          </w:p>
        </w:tc>
        <w:tc>
          <w:tcPr>
            <w:tcW w:w="1134" w:type="dxa"/>
          </w:tcPr>
          <w:p>
            <w:pPr>
              <w:pStyle w:val="nTable"/>
              <w:spacing w:before="100"/>
            </w:pPr>
            <w:r>
              <w:rPr>
                <w:sz w:val="19"/>
              </w:rPr>
              <w:t>42 of 2005</w:t>
            </w:r>
          </w:p>
        </w:tc>
        <w:tc>
          <w:tcPr>
            <w:tcW w:w="1134" w:type="dxa"/>
          </w:tcPr>
          <w:p>
            <w:pPr>
              <w:pStyle w:val="nTable"/>
              <w:spacing w:before="100"/>
            </w:pPr>
            <w:r>
              <w:rPr>
                <w:sz w:val="19"/>
              </w:rPr>
              <w:t>19 Dec 2005</w:t>
            </w:r>
          </w:p>
        </w:tc>
        <w:tc>
          <w:tcPr>
            <w:tcW w:w="2552" w:type="dxa"/>
          </w:tcPr>
          <w:p>
            <w:pPr>
              <w:pStyle w:val="nTable"/>
              <w:spacing w:before="100"/>
            </w:pPr>
            <w:r>
              <w:t>To be proclaimed (see s. 2)</w:t>
            </w:r>
          </w:p>
        </w:tc>
      </w:tr>
      <w:tr>
        <w:tblPrEx>
          <w:tblBorders>
            <w:top w:val="none" w:sz="0" w:space="0" w:color="auto"/>
            <w:bottom w:val="none" w:sz="0" w:space="0" w:color="auto"/>
            <w:insideH w:val="none" w:sz="0" w:space="0" w:color="auto"/>
          </w:tblBorders>
          <w:tblCellMar>
            <w:left w:w="56" w:type="dxa"/>
            <w:right w:w="56" w:type="dxa"/>
          </w:tblCellMar>
        </w:tblPrEx>
        <w:tc>
          <w:tcPr>
            <w:tcW w:w="2268" w:type="dxa"/>
          </w:tcPr>
          <w:p>
            <w:pPr>
              <w:pStyle w:val="nTable"/>
              <w:spacing w:before="100"/>
              <w:rPr>
                <w:i/>
                <w:noProof/>
                <w:snapToGrid w:val="0"/>
                <w:sz w:val="19"/>
              </w:rPr>
            </w:pPr>
            <w:r>
              <w:rPr>
                <w:i/>
                <w:noProof/>
                <w:snapToGrid w:val="0"/>
                <w:sz w:val="19"/>
              </w:rPr>
              <w:t>Medical Radiation Technologists Act 2006</w:t>
            </w:r>
            <w:r>
              <w:rPr>
                <w:i/>
                <w:iCs/>
                <w:noProof/>
                <w:snapToGrid w:val="0"/>
                <w:sz w:val="19"/>
              </w:rPr>
              <w:t xml:space="preserve"> </w:t>
            </w:r>
            <w:r>
              <w:rPr>
                <w:noProof/>
                <w:snapToGrid w:val="0"/>
                <w:sz w:val="19"/>
              </w:rPr>
              <w:t>s. 105</w:t>
            </w:r>
            <w:r>
              <w:rPr>
                <w:i/>
                <w:iCs/>
                <w:noProof/>
                <w:snapToGrid w:val="0"/>
                <w:sz w:val="19"/>
              </w:rPr>
              <w:t xml:space="preserve"> </w:t>
            </w:r>
            <w:r>
              <w:rPr>
                <w:i/>
                <w:iCs/>
                <w:noProof/>
                <w:snapToGrid w:val="0"/>
                <w:sz w:val="19"/>
                <w:vertAlign w:val="superscript"/>
              </w:rPr>
              <w:t>9</w:t>
            </w:r>
          </w:p>
        </w:tc>
        <w:tc>
          <w:tcPr>
            <w:tcW w:w="1134" w:type="dxa"/>
          </w:tcPr>
          <w:p>
            <w:pPr>
              <w:pStyle w:val="nTable"/>
              <w:spacing w:before="100"/>
              <w:rPr>
                <w:sz w:val="19"/>
              </w:rPr>
            </w:pPr>
            <w:r>
              <w:rPr>
                <w:sz w:val="19"/>
              </w:rPr>
              <w:t>21 of 2006</w:t>
            </w:r>
          </w:p>
        </w:tc>
        <w:tc>
          <w:tcPr>
            <w:tcW w:w="1134" w:type="dxa"/>
          </w:tcPr>
          <w:p>
            <w:pPr>
              <w:pStyle w:val="nTable"/>
              <w:spacing w:before="100"/>
              <w:rPr>
                <w:sz w:val="19"/>
              </w:rPr>
            </w:pPr>
            <w:r>
              <w:rPr>
                <w:sz w:val="19"/>
              </w:rPr>
              <w:t>9 Jun 2006</w:t>
            </w:r>
          </w:p>
        </w:tc>
        <w:tc>
          <w:tcPr>
            <w:tcW w:w="2552" w:type="dxa"/>
          </w:tcPr>
          <w:p>
            <w:pPr>
              <w:pStyle w:val="nTable"/>
              <w:spacing w:before="100"/>
            </w:pPr>
            <w:r>
              <w:rPr>
                <w:sz w:val="19"/>
              </w:rPr>
              <w:t>To be proclaimed (see s. 2)</w:t>
            </w:r>
          </w:p>
        </w:tc>
      </w:tr>
      <w:tr>
        <w:tblPrEx>
          <w:tblBorders>
            <w:top w:val="none" w:sz="0" w:space="0" w:color="auto"/>
            <w:bottom w:val="none" w:sz="0" w:space="0" w:color="auto"/>
            <w:insideH w:val="none" w:sz="0" w:space="0" w:color="auto"/>
          </w:tblBorders>
          <w:tblCellMar>
            <w:left w:w="56" w:type="dxa"/>
            <w:right w:w="56" w:type="dxa"/>
          </w:tblCellMar>
        </w:tblPrEx>
        <w:tc>
          <w:tcPr>
            <w:tcW w:w="2268" w:type="dxa"/>
            <w:tcBorders>
              <w:bottom w:val="single" w:sz="4" w:space="0" w:color="auto"/>
            </w:tcBorders>
          </w:tcPr>
          <w:p>
            <w:pPr>
              <w:pStyle w:val="nTable"/>
              <w:spacing w:after="40"/>
              <w:rPr>
                <w:i/>
                <w:noProof/>
                <w:snapToGrid w:val="0"/>
                <w:sz w:val="19"/>
                <w:vertAlign w:val="superscript"/>
              </w:rPr>
            </w:pPr>
            <w:r>
              <w:rPr>
                <w:i/>
                <w:iCs/>
                <w:snapToGrid w:val="0"/>
                <w:sz w:val="19"/>
                <w:lang w:val="en-US"/>
              </w:rPr>
              <w:t>Nurses and Midwives Act 2006</w:t>
            </w:r>
            <w:r>
              <w:rPr>
                <w:snapToGrid w:val="0"/>
                <w:sz w:val="19"/>
                <w:lang w:val="en-US"/>
              </w:rPr>
              <w:t xml:space="preserve"> s. 114 </w:t>
            </w:r>
            <w:r>
              <w:rPr>
                <w:snapToGrid w:val="0"/>
                <w:sz w:val="19"/>
                <w:vertAlign w:val="superscript"/>
                <w:lang w:val="en-US"/>
              </w:rPr>
              <w:t>10</w:t>
            </w:r>
          </w:p>
        </w:tc>
        <w:tc>
          <w:tcPr>
            <w:tcW w:w="1134" w:type="dxa"/>
            <w:tcBorders>
              <w:bottom w:val="single" w:sz="4" w:space="0" w:color="auto"/>
            </w:tcBorders>
          </w:tcPr>
          <w:p>
            <w:pPr>
              <w:pStyle w:val="nTable"/>
              <w:spacing w:after="40"/>
              <w:rPr>
                <w:sz w:val="19"/>
              </w:rPr>
            </w:pPr>
            <w:r>
              <w:rPr>
                <w:snapToGrid w:val="0"/>
                <w:sz w:val="19"/>
                <w:lang w:val="en-US"/>
              </w:rPr>
              <w:t>50 of 2006</w:t>
            </w:r>
          </w:p>
        </w:tc>
        <w:tc>
          <w:tcPr>
            <w:tcW w:w="1134" w:type="dxa"/>
            <w:tcBorders>
              <w:bottom w:val="single" w:sz="4" w:space="0" w:color="auto"/>
            </w:tcBorders>
          </w:tcPr>
          <w:p>
            <w:pPr>
              <w:pStyle w:val="nTable"/>
              <w:spacing w:after="40"/>
              <w:rPr>
                <w:sz w:val="19"/>
              </w:rPr>
            </w:pPr>
            <w:r>
              <w:rPr>
                <w:snapToGrid w:val="0"/>
                <w:sz w:val="19"/>
                <w:lang w:val="en-US"/>
              </w:rPr>
              <w:t>6 Oct 2006</w:t>
            </w:r>
          </w:p>
        </w:tc>
        <w:tc>
          <w:tcPr>
            <w:tcW w:w="2552" w:type="dxa"/>
            <w:tcBorders>
              <w:bottom w:val="single" w:sz="4" w:space="0" w:color="auto"/>
            </w:tcBorders>
          </w:tcPr>
          <w:p>
            <w:pPr>
              <w:pStyle w:val="nTable"/>
              <w:spacing w:after="40"/>
              <w:rPr>
                <w:sz w:val="19"/>
              </w:rPr>
            </w:pPr>
            <w:r>
              <w:rPr>
                <w:snapToGrid w:val="0"/>
                <w:sz w:val="19"/>
                <w:lang w:val="en-US"/>
              </w:rPr>
              <w:t>To be proclaimed (see s. 2)</w:t>
            </w:r>
          </w:p>
        </w:tc>
      </w:tr>
    </w:tbl>
    <w:p>
      <w:pPr>
        <w:pStyle w:val="nSubsection"/>
        <w:rPr>
          <w:snapToGrid w:val="0"/>
          <w:vertAlign w:val="superscript"/>
        </w:rPr>
      </w:pPr>
    </w:p>
    <w:p>
      <w:pPr>
        <w:pStyle w:val="nSubsection"/>
        <w:rPr>
          <w:snapToGrid w:val="0"/>
        </w:rPr>
      </w:pPr>
      <w:r>
        <w:rPr>
          <w:snapToGrid w:val="0"/>
          <w:vertAlign w:val="superscript"/>
        </w:rPr>
        <w:t>2</w:t>
      </w:r>
      <w:r>
        <w:rPr>
          <w:snapToGrid w:val="0"/>
        </w:rPr>
        <w:tab/>
        <w:t xml:space="preserve">On the date as at which this compilation was prepared, the </w:t>
      </w:r>
      <w:r>
        <w:rPr>
          <w:i/>
          <w:noProof/>
          <w:snapToGrid w:val="0"/>
        </w:rPr>
        <w:t xml:space="preserve">Psychologists Act 2005 </w:t>
      </w:r>
      <w:r>
        <w:rPr>
          <w:iCs/>
          <w:noProof/>
          <w:snapToGrid w:val="0"/>
        </w:rPr>
        <w:t>s. 108, which gives effect to Sch. 3,</w:t>
      </w:r>
      <w:r>
        <w:rPr>
          <w:i/>
          <w:noProof/>
          <w:snapToGrid w:val="0"/>
        </w:rPr>
        <w:t xml:space="preserve"> </w:t>
      </w:r>
      <w:r>
        <w:rPr>
          <w:snapToGrid w:val="0"/>
        </w:rPr>
        <w:t>had not come into operation.  It reads as follows:</w:t>
      </w:r>
    </w:p>
    <w:p>
      <w:pPr>
        <w:pStyle w:val="MiscOpen"/>
        <w:rPr>
          <w:snapToGrid w:val="0"/>
        </w:rPr>
      </w:pPr>
      <w:r>
        <w:rPr>
          <w:snapToGrid w:val="0"/>
        </w:rPr>
        <w:t>“</w:t>
      </w:r>
    </w:p>
    <w:p>
      <w:pPr>
        <w:pStyle w:val="nzHeading5"/>
        <w:rPr>
          <w:snapToGrid w:val="0"/>
        </w:rPr>
      </w:pPr>
      <w:r>
        <w:rPr>
          <w:rStyle w:val="CharSectno"/>
        </w:rPr>
        <w:t>108</w:t>
      </w:r>
      <w:r>
        <w:t>.</w:t>
      </w:r>
      <w:r>
        <w:tab/>
      </w:r>
      <w:r>
        <w:rPr>
          <w:snapToGrid w:val="0"/>
        </w:rPr>
        <w:t xml:space="preserve">Consequential amendments </w:t>
      </w:r>
    </w:p>
    <w:p>
      <w:pPr>
        <w:pStyle w:val="nzSubsection"/>
        <w:rPr>
          <w:snapToGrid w:val="0"/>
        </w:rPr>
      </w:pPr>
      <w:r>
        <w:rPr>
          <w:snapToGrid w:val="0"/>
        </w:rPr>
        <w:tab/>
      </w:r>
      <w:r>
        <w:rPr>
          <w:snapToGrid w:val="0"/>
        </w:rPr>
        <w:tab/>
        <w:t>Schedule 3 sets out consequential amendments.</w:t>
      </w:r>
    </w:p>
    <w:p>
      <w:pPr>
        <w:pStyle w:val="MiscClose"/>
        <w:rPr>
          <w:snapToGrid w:val="0"/>
        </w:rPr>
      </w:pPr>
      <w:r>
        <w:rPr>
          <w:snapToGrid w:val="0"/>
        </w:rPr>
        <w:t>”.</w:t>
      </w:r>
    </w:p>
    <w:p>
      <w:pPr>
        <w:pStyle w:val="nSubsection"/>
        <w:rPr>
          <w:rStyle w:val="CharSchNo"/>
        </w:rPr>
      </w:pPr>
      <w:r>
        <w:rPr>
          <w:rStyle w:val="CharSchNo"/>
        </w:rPr>
        <w:tab/>
        <w:t>Schedule 3 cl. 5 reads as follows:</w:t>
      </w:r>
    </w:p>
    <w:p>
      <w:pPr>
        <w:pStyle w:val="MiscOpen"/>
        <w:rPr>
          <w:snapToGrid w:val="0"/>
        </w:rPr>
      </w:pPr>
      <w:r>
        <w:rPr>
          <w:snapToGrid w:val="0"/>
        </w:rPr>
        <w:t>“</w:t>
      </w:r>
    </w:p>
    <w:p>
      <w:pPr>
        <w:pStyle w:val="nzHeading2"/>
      </w:pPr>
      <w:r>
        <w:rPr>
          <w:rStyle w:val="CharSchNo"/>
        </w:rPr>
        <w:t>Schedule 3</w:t>
      </w:r>
      <w:r>
        <w:rPr>
          <w:rStyle w:val="CharSDivNo"/>
        </w:rPr>
        <w:t> </w:t>
      </w:r>
      <w:r>
        <w:t>—</w:t>
      </w:r>
      <w:r>
        <w:rPr>
          <w:rStyle w:val="CharSDivText"/>
        </w:rPr>
        <w:t> </w:t>
      </w:r>
      <w:r>
        <w:rPr>
          <w:rStyle w:val="CharSchText"/>
        </w:rPr>
        <w:t>Consequential amendments</w:t>
      </w:r>
    </w:p>
    <w:p>
      <w:pPr>
        <w:pStyle w:val="nzMiscellaneousBody"/>
        <w:jc w:val="right"/>
      </w:pPr>
      <w:r>
        <w:t>[s. 108]</w:t>
      </w:r>
    </w:p>
    <w:p>
      <w:pPr>
        <w:pStyle w:val="nzHeading5"/>
      </w:pPr>
      <w:bookmarkStart w:id="130" w:name="_Toc112553690"/>
      <w:bookmarkStart w:id="131" w:name="_Toc122237793"/>
      <w:r>
        <w:rPr>
          <w:rStyle w:val="CharSClsNo"/>
        </w:rPr>
        <w:t>5</w:t>
      </w:r>
      <w:r>
        <w:t>.</w:t>
      </w:r>
      <w:r>
        <w:tab/>
      </w:r>
      <w:r>
        <w:rPr>
          <w:i/>
          <w:iCs/>
        </w:rPr>
        <w:t xml:space="preserve">Health </w:t>
      </w:r>
      <w:r>
        <w:rPr>
          <w:i/>
        </w:rPr>
        <w:t xml:space="preserve">Professionals (Special Events Exemption) Act 2000 </w:t>
      </w:r>
      <w:r>
        <w:t>amended</w:t>
      </w:r>
      <w:bookmarkEnd w:id="130"/>
      <w:bookmarkEnd w:id="131"/>
    </w:p>
    <w:p>
      <w:pPr>
        <w:pStyle w:val="nzSubsection"/>
      </w:pPr>
      <w:r>
        <w:tab/>
        <w:t>(1)</w:t>
      </w:r>
      <w:r>
        <w:tab/>
        <w:t xml:space="preserve">The amendments in this clause are to the </w:t>
      </w:r>
      <w:r>
        <w:rPr>
          <w:i/>
        </w:rPr>
        <w:t>Health Professionals (Special Events Exemption) Act 2000</w:t>
      </w:r>
      <w:r>
        <w:t>.</w:t>
      </w:r>
    </w:p>
    <w:p>
      <w:pPr>
        <w:pStyle w:val="nzSubsection"/>
      </w:pPr>
      <w:r>
        <w:tab/>
        <w:t>(2)</w:t>
      </w:r>
      <w:r>
        <w:tab/>
        <w:t>Section 3(1) is amended in the definition of “Health Registration Act” by deleting “</w:t>
      </w:r>
      <w:r>
        <w:rPr>
          <w:i/>
          <w:iCs/>
        </w:rPr>
        <w:t>Psychologists Registration Act 1976;</w:t>
      </w:r>
      <w:r>
        <w:t xml:space="preserve">” and inserting instead — </w:t>
      </w:r>
    </w:p>
    <w:p>
      <w:pPr>
        <w:pStyle w:val="nzSubsection"/>
      </w:pPr>
      <w:r>
        <w:tab/>
      </w:r>
      <w:r>
        <w:tab/>
        <w:t xml:space="preserve">“    </w:t>
      </w:r>
      <w:r>
        <w:rPr>
          <w:i/>
        </w:rPr>
        <w:t>Psychologists Act 2005</w:t>
      </w:r>
      <w:r>
        <w:rPr>
          <w:iCs/>
        </w:rPr>
        <w:t>;</w:t>
      </w:r>
      <w:r>
        <w:t xml:space="preserve">    ”.</w:t>
      </w:r>
    </w:p>
    <w:p>
      <w:pPr>
        <w:pStyle w:val="MiscClose"/>
        <w:rPr>
          <w:snapToGrid w:val="0"/>
        </w:rPr>
      </w:pPr>
      <w:r>
        <w:rPr>
          <w:snapToGrid w:val="0"/>
        </w:rPr>
        <w:t>”.</w:t>
      </w:r>
    </w:p>
    <w:p>
      <w:pPr>
        <w:pStyle w:val="nSubsection"/>
        <w:rPr>
          <w:snapToGrid w:val="0"/>
        </w:rPr>
      </w:pPr>
      <w:r>
        <w:rPr>
          <w:snapToGrid w:val="0"/>
          <w:vertAlign w:val="superscript"/>
        </w:rPr>
        <w:t>3</w:t>
      </w:r>
      <w:r>
        <w:rPr>
          <w:snapToGrid w:val="0"/>
        </w:rPr>
        <w:tab/>
        <w:t xml:space="preserve">On the date as at which this compilation was prepared, the </w:t>
      </w:r>
      <w:r>
        <w:rPr>
          <w:i/>
          <w:noProof/>
          <w:snapToGrid w:val="0"/>
        </w:rPr>
        <w:t xml:space="preserve">Optometrists Act 2005 </w:t>
      </w:r>
      <w:r>
        <w:rPr>
          <w:iCs/>
          <w:noProof/>
          <w:snapToGrid w:val="0"/>
        </w:rPr>
        <w:t>s. 109, which gives effect to Sch. 3,</w:t>
      </w:r>
      <w:r>
        <w:rPr>
          <w:i/>
          <w:noProof/>
          <w:snapToGrid w:val="0"/>
        </w:rPr>
        <w:t xml:space="preserve"> </w:t>
      </w:r>
      <w:r>
        <w:rPr>
          <w:snapToGrid w:val="0"/>
        </w:rPr>
        <w:t>had not come into operation.  It reads as follows:</w:t>
      </w:r>
    </w:p>
    <w:p>
      <w:pPr>
        <w:pStyle w:val="MiscOpen"/>
        <w:rPr>
          <w:snapToGrid w:val="0"/>
        </w:rPr>
      </w:pPr>
      <w:r>
        <w:rPr>
          <w:snapToGrid w:val="0"/>
        </w:rPr>
        <w:t>“</w:t>
      </w:r>
    </w:p>
    <w:p>
      <w:pPr>
        <w:pStyle w:val="nzHeading5"/>
        <w:rPr>
          <w:snapToGrid w:val="0"/>
        </w:rPr>
      </w:pPr>
      <w:bookmarkStart w:id="132" w:name="_Toc112553649"/>
      <w:bookmarkStart w:id="133" w:name="_Toc122237752"/>
      <w:bookmarkStart w:id="134" w:name="_Toc112553685"/>
      <w:bookmarkStart w:id="135" w:name="_Toc112553866"/>
      <w:bookmarkStart w:id="136" w:name="_Toc112554047"/>
      <w:bookmarkStart w:id="137" w:name="_Toc121285788"/>
      <w:bookmarkStart w:id="138" w:name="_Toc122237788"/>
      <w:r>
        <w:rPr>
          <w:rStyle w:val="CharSectno"/>
        </w:rPr>
        <w:t>109</w:t>
      </w:r>
      <w:r>
        <w:t>.</w:t>
      </w:r>
      <w:r>
        <w:tab/>
      </w:r>
      <w:r>
        <w:rPr>
          <w:snapToGrid w:val="0"/>
        </w:rPr>
        <w:t>Consequential amendments</w:t>
      </w:r>
      <w:bookmarkEnd w:id="132"/>
      <w:bookmarkEnd w:id="133"/>
      <w:r>
        <w:rPr>
          <w:snapToGrid w:val="0"/>
        </w:rPr>
        <w:t xml:space="preserve"> </w:t>
      </w:r>
    </w:p>
    <w:p>
      <w:pPr>
        <w:pStyle w:val="nzSubsection"/>
        <w:rPr>
          <w:snapToGrid w:val="0"/>
        </w:rPr>
      </w:pPr>
      <w:r>
        <w:rPr>
          <w:snapToGrid w:val="0"/>
        </w:rPr>
        <w:tab/>
      </w:r>
      <w:r>
        <w:rPr>
          <w:snapToGrid w:val="0"/>
        </w:rPr>
        <w:tab/>
        <w:t>Schedule 3 sets out consequential amendments.</w:t>
      </w:r>
    </w:p>
    <w:p>
      <w:pPr>
        <w:pStyle w:val="MiscClose"/>
        <w:rPr>
          <w:snapToGrid w:val="0"/>
        </w:rPr>
      </w:pPr>
      <w:r>
        <w:rPr>
          <w:snapToGrid w:val="0"/>
        </w:rPr>
        <w:t>”.</w:t>
      </w:r>
    </w:p>
    <w:p>
      <w:pPr>
        <w:pStyle w:val="nSubsection"/>
        <w:rPr>
          <w:rStyle w:val="CharSchNo"/>
        </w:rPr>
      </w:pPr>
      <w:r>
        <w:rPr>
          <w:rStyle w:val="CharSchNo"/>
        </w:rPr>
        <w:tab/>
        <w:t>Schedule 3 cl. 3 reads as follows:</w:t>
      </w:r>
    </w:p>
    <w:p>
      <w:pPr>
        <w:pStyle w:val="MiscOpen"/>
        <w:rPr>
          <w:snapToGrid w:val="0"/>
        </w:rPr>
      </w:pPr>
      <w:r>
        <w:rPr>
          <w:snapToGrid w:val="0"/>
        </w:rPr>
        <w:t>“</w:t>
      </w:r>
    </w:p>
    <w:p>
      <w:pPr>
        <w:pStyle w:val="nzHeading2"/>
      </w:pPr>
      <w:r>
        <w:rPr>
          <w:rStyle w:val="CharSchNo"/>
        </w:rPr>
        <w:t>Schedule 3</w:t>
      </w:r>
      <w:r>
        <w:rPr>
          <w:rStyle w:val="CharSDivNo"/>
        </w:rPr>
        <w:t> </w:t>
      </w:r>
      <w:r>
        <w:t>—</w:t>
      </w:r>
      <w:r>
        <w:rPr>
          <w:rStyle w:val="CharSDivText"/>
        </w:rPr>
        <w:t> </w:t>
      </w:r>
      <w:r>
        <w:rPr>
          <w:rStyle w:val="CharSchText"/>
        </w:rPr>
        <w:t>Consequential amendments</w:t>
      </w:r>
      <w:bookmarkEnd w:id="134"/>
      <w:bookmarkEnd w:id="135"/>
      <w:bookmarkEnd w:id="136"/>
      <w:bookmarkEnd w:id="137"/>
      <w:bookmarkEnd w:id="138"/>
    </w:p>
    <w:p>
      <w:pPr>
        <w:pStyle w:val="nzMiscellaneousBody"/>
        <w:jc w:val="right"/>
      </w:pPr>
      <w:r>
        <w:t>[s. 109]</w:t>
      </w:r>
    </w:p>
    <w:p>
      <w:pPr>
        <w:pStyle w:val="nzHeading5"/>
      </w:pPr>
      <w:bookmarkStart w:id="139" w:name="_Toc110128363"/>
      <w:bookmarkStart w:id="140" w:name="_Toc110851705"/>
      <w:bookmarkStart w:id="141" w:name="_Toc112552244"/>
      <w:bookmarkStart w:id="142" w:name="_Toc121285684"/>
      <w:r>
        <w:rPr>
          <w:rStyle w:val="CharSClsNo"/>
        </w:rPr>
        <w:t>3</w:t>
      </w:r>
      <w:r>
        <w:t>.</w:t>
      </w:r>
      <w:r>
        <w:tab/>
      </w:r>
      <w:r>
        <w:rPr>
          <w:i/>
          <w:iCs/>
        </w:rPr>
        <w:t xml:space="preserve">Health </w:t>
      </w:r>
      <w:r>
        <w:rPr>
          <w:i/>
        </w:rPr>
        <w:t xml:space="preserve">Professionals (Special Events Exemption) Act 2000 </w:t>
      </w:r>
      <w:r>
        <w:t>amended</w:t>
      </w:r>
      <w:bookmarkEnd w:id="139"/>
      <w:bookmarkEnd w:id="140"/>
      <w:bookmarkEnd w:id="141"/>
      <w:bookmarkEnd w:id="142"/>
    </w:p>
    <w:p>
      <w:pPr>
        <w:pStyle w:val="nzSubsection"/>
      </w:pPr>
      <w:r>
        <w:tab/>
        <w:t>(1)</w:t>
      </w:r>
      <w:r>
        <w:tab/>
        <w:t xml:space="preserve">The amendments in this clause are to the </w:t>
      </w:r>
      <w:r>
        <w:rPr>
          <w:i/>
        </w:rPr>
        <w:t>Health Professionals (Special Events Exemption) Act 2000</w:t>
      </w:r>
      <w:r>
        <w:t>.</w:t>
      </w:r>
    </w:p>
    <w:p>
      <w:pPr>
        <w:pStyle w:val="nzSubsection"/>
      </w:pPr>
      <w:r>
        <w:tab/>
        <w:t>(2)</w:t>
      </w:r>
      <w:r>
        <w:tab/>
        <w:t>Section 3(1) is amended in the definition of “Health Registration Act” by deleting “</w:t>
      </w:r>
      <w:r>
        <w:rPr>
          <w:i/>
        </w:rPr>
        <w:t>Optometrists Act 1940;</w:t>
      </w:r>
      <w:r>
        <w:t xml:space="preserve">” and inserting instead — </w:t>
      </w:r>
    </w:p>
    <w:p>
      <w:pPr>
        <w:pStyle w:val="nzSubsection"/>
      </w:pPr>
      <w:r>
        <w:tab/>
      </w:r>
      <w:r>
        <w:tab/>
        <w:t xml:space="preserve">“    </w:t>
      </w:r>
      <w:r>
        <w:rPr>
          <w:i/>
        </w:rPr>
        <w:t>Optometrists Act 2005</w:t>
      </w:r>
      <w:r>
        <w:rPr>
          <w:iCs/>
        </w:rPr>
        <w:t>;</w:t>
      </w:r>
      <w:r>
        <w:t xml:space="preserve">    ”.</w:t>
      </w:r>
    </w:p>
    <w:p>
      <w:pPr>
        <w:pStyle w:val="MiscClose"/>
        <w:ind w:right="292"/>
        <w:rPr>
          <w:snapToGrid w:val="0"/>
        </w:rPr>
      </w:pPr>
      <w:r>
        <w:rPr>
          <w:snapToGrid w:val="0"/>
        </w:rPr>
        <w:t>”.</w:t>
      </w:r>
    </w:p>
    <w:p>
      <w:pPr>
        <w:pStyle w:val="MiscClose"/>
        <w:rPr>
          <w:snapToGrid w:val="0"/>
        </w:rPr>
      </w:pPr>
      <w:r>
        <w:rPr>
          <w:snapToGrid w:val="0"/>
        </w:rPr>
        <w:t>”.</w:t>
      </w:r>
    </w:p>
    <w:p/>
    <w:p>
      <w:pPr>
        <w:pStyle w:val="nSubsection"/>
        <w:rPr>
          <w:snapToGrid w:val="0"/>
        </w:rPr>
      </w:pPr>
      <w:r>
        <w:rPr>
          <w:vertAlign w:val="superscript"/>
        </w:rPr>
        <w:t>4</w:t>
      </w:r>
      <w:r>
        <w:tab/>
      </w:r>
      <w:r>
        <w:rPr>
          <w:snapToGrid w:val="0"/>
        </w:rPr>
        <w:t xml:space="preserve">On the date as at which this compilation was prepared, the </w:t>
      </w:r>
      <w:r>
        <w:rPr>
          <w:i/>
          <w:noProof/>
          <w:snapToGrid w:val="0"/>
        </w:rPr>
        <w:t>Podiatrists Act 2005</w:t>
      </w:r>
      <w:r>
        <w:rPr>
          <w:iCs/>
          <w:noProof/>
          <w:snapToGrid w:val="0"/>
        </w:rPr>
        <w:t xml:space="preserve"> s. 109, which gives effect to Sch. 3,</w:t>
      </w:r>
      <w:r>
        <w:rPr>
          <w:snapToGrid w:val="0"/>
        </w:rPr>
        <w:t xml:space="preserve"> had not come into operation.  It reads as follows:</w:t>
      </w:r>
    </w:p>
    <w:p>
      <w:pPr>
        <w:pStyle w:val="MiscOpen"/>
        <w:rPr>
          <w:snapToGrid w:val="0"/>
        </w:rPr>
      </w:pPr>
      <w:r>
        <w:rPr>
          <w:snapToGrid w:val="0"/>
        </w:rPr>
        <w:t>“</w:t>
      </w:r>
    </w:p>
    <w:p>
      <w:pPr>
        <w:pStyle w:val="nzHeading5"/>
        <w:rPr>
          <w:snapToGrid w:val="0"/>
        </w:rPr>
      </w:pPr>
      <w:r>
        <w:t>109.</w:t>
      </w:r>
      <w:r>
        <w:tab/>
      </w:r>
      <w:r>
        <w:rPr>
          <w:snapToGrid w:val="0"/>
        </w:rPr>
        <w:t xml:space="preserve">Consequential amendments </w:t>
      </w:r>
    </w:p>
    <w:p>
      <w:pPr>
        <w:pStyle w:val="nzSubsection"/>
        <w:rPr>
          <w:snapToGrid w:val="0"/>
        </w:rPr>
      </w:pPr>
      <w:r>
        <w:rPr>
          <w:snapToGrid w:val="0"/>
        </w:rPr>
        <w:tab/>
      </w:r>
      <w:r>
        <w:rPr>
          <w:snapToGrid w:val="0"/>
        </w:rPr>
        <w:tab/>
        <w:t>Schedule 3 sets out consequential amendments.</w:t>
      </w:r>
    </w:p>
    <w:p>
      <w:pPr>
        <w:pStyle w:val="MiscClose"/>
        <w:rPr>
          <w:snapToGrid w:val="0"/>
        </w:rPr>
      </w:pPr>
      <w:r>
        <w:rPr>
          <w:snapToGrid w:val="0"/>
        </w:rPr>
        <w:t>”.</w:t>
      </w:r>
    </w:p>
    <w:p>
      <w:pPr>
        <w:pStyle w:val="nSubsection"/>
        <w:rPr>
          <w:rStyle w:val="CharSchNo"/>
        </w:rPr>
      </w:pPr>
      <w:r>
        <w:rPr>
          <w:rStyle w:val="CharSchNo"/>
        </w:rPr>
        <w:tab/>
        <w:t>Schedule 3 cl. 3 reads as follows:</w:t>
      </w:r>
    </w:p>
    <w:p>
      <w:pPr>
        <w:pStyle w:val="MiscOpen"/>
        <w:rPr>
          <w:snapToGrid w:val="0"/>
        </w:rPr>
      </w:pPr>
      <w:r>
        <w:rPr>
          <w:snapToGrid w:val="0"/>
        </w:rPr>
        <w:t>“</w:t>
      </w:r>
    </w:p>
    <w:p>
      <w:pPr>
        <w:pStyle w:val="nzHeading2"/>
      </w:pPr>
      <w:r>
        <w:rPr>
          <w:rStyle w:val="CharSchNo"/>
        </w:rPr>
        <w:t>Schedule 3</w:t>
      </w:r>
      <w:r>
        <w:rPr>
          <w:rStyle w:val="CharSDivNo"/>
        </w:rPr>
        <w:t> </w:t>
      </w:r>
      <w:r>
        <w:t>—</w:t>
      </w:r>
      <w:r>
        <w:rPr>
          <w:rStyle w:val="CharSDivText"/>
        </w:rPr>
        <w:t> </w:t>
      </w:r>
      <w:r>
        <w:rPr>
          <w:rStyle w:val="CharSchText"/>
        </w:rPr>
        <w:t>Consequential amendments</w:t>
      </w:r>
    </w:p>
    <w:p>
      <w:pPr>
        <w:pStyle w:val="nzMiscellaneousBody"/>
        <w:jc w:val="right"/>
      </w:pPr>
      <w:r>
        <w:t>[s. 109]</w:t>
      </w:r>
    </w:p>
    <w:p>
      <w:pPr>
        <w:pStyle w:val="nzHeading5"/>
      </w:pPr>
      <w:bookmarkStart w:id="143" w:name="_Toc100553773"/>
      <w:bookmarkStart w:id="144" w:name="_Toc121556313"/>
      <w:bookmarkStart w:id="145" w:name="_Toc122322373"/>
      <w:r>
        <w:t>3.</w:t>
      </w:r>
      <w:r>
        <w:tab/>
      </w:r>
      <w:r>
        <w:rPr>
          <w:i/>
        </w:rPr>
        <w:t xml:space="preserve">Health Professionals (Special Events Exemption) Act 2000 </w:t>
      </w:r>
      <w:r>
        <w:t>amended</w:t>
      </w:r>
      <w:bookmarkEnd w:id="143"/>
      <w:bookmarkEnd w:id="144"/>
      <w:bookmarkEnd w:id="145"/>
    </w:p>
    <w:p>
      <w:pPr>
        <w:pStyle w:val="nzSubsection"/>
      </w:pPr>
      <w:r>
        <w:tab/>
        <w:t>(1)</w:t>
      </w:r>
      <w:r>
        <w:tab/>
        <w:t xml:space="preserve">The amendments in this clause are to the </w:t>
      </w:r>
      <w:r>
        <w:rPr>
          <w:i/>
        </w:rPr>
        <w:t>Health Professionals (Special Events Exemption) Act 2000</w:t>
      </w:r>
      <w:r>
        <w:t>.</w:t>
      </w:r>
    </w:p>
    <w:p>
      <w:pPr>
        <w:pStyle w:val="nzSubsection"/>
      </w:pPr>
      <w:r>
        <w:tab/>
        <w:t>(2)</w:t>
      </w:r>
      <w:r>
        <w:tab/>
        <w:t>Section 3(1) is amended in the definition of “Health Registration Act” by deleting “</w:t>
      </w:r>
      <w:r>
        <w:rPr>
          <w:i/>
          <w:iCs/>
        </w:rPr>
        <w:t>Podiatrists Registration Act 1984</w:t>
      </w:r>
      <w:r>
        <w:rPr>
          <w:i/>
        </w:rPr>
        <w:t>;</w:t>
      </w:r>
      <w:r>
        <w:t xml:space="preserve">” and inserting instead — </w:t>
      </w:r>
    </w:p>
    <w:p>
      <w:pPr>
        <w:pStyle w:val="nzSubsection"/>
      </w:pPr>
      <w:r>
        <w:tab/>
      </w:r>
      <w:r>
        <w:tab/>
        <w:t xml:space="preserve">“    </w:t>
      </w:r>
      <w:r>
        <w:rPr>
          <w:i/>
          <w:sz w:val="24"/>
        </w:rPr>
        <w:t>Podiatrists Act 2005</w:t>
      </w:r>
      <w:r>
        <w:rPr>
          <w:iCs/>
          <w:sz w:val="24"/>
        </w:rPr>
        <w:t>;</w:t>
      </w:r>
      <w:r>
        <w:t xml:space="preserve">    ”.</w:t>
      </w:r>
    </w:p>
    <w:p>
      <w:pPr>
        <w:pStyle w:val="MiscClose"/>
      </w:pPr>
      <w:r>
        <w:t>”.</w:t>
      </w:r>
    </w:p>
    <w:p>
      <w:pPr>
        <w:pStyle w:val="nSubsection"/>
        <w:rPr>
          <w:snapToGrid w:val="0"/>
        </w:rPr>
      </w:pPr>
      <w:r>
        <w:rPr>
          <w:vertAlign w:val="superscript"/>
        </w:rPr>
        <w:t>5</w:t>
      </w:r>
      <w:r>
        <w:tab/>
      </w:r>
      <w:r>
        <w:rPr>
          <w:snapToGrid w:val="0"/>
        </w:rPr>
        <w:t xml:space="preserve">On the date as at which this compilation was prepared, the </w:t>
      </w:r>
      <w:r>
        <w:rPr>
          <w:i/>
          <w:noProof/>
          <w:snapToGrid w:val="0"/>
        </w:rPr>
        <w:t>Chiropractors Act 2005</w:t>
      </w:r>
      <w:r>
        <w:rPr>
          <w:iCs/>
          <w:noProof/>
          <w:snapToGrid w:val="0"/>
        </w:rPr>
        <w:t xml:space="preserve"> s. 109, which gives effect to Sch. 3,</w:t>
      </w:r>
      <w:r>
        <w:rPr>
          <w:snapToGrid w:val="0"/>
        </w:rPr>
        <w:t xml:space="preserve"> had not come into operation.  It reads as follows:</w:t>
      </w:r>
    </w:p>
    <w:p>
      <w:pPr>
        <w:pStyle w:val="MiscOpen"/>
        <w:rPr>
          <w:snapToGrid w:val="0"/>
        </w:rPr>
      </w:pPr>
      <w:r>
        <w:rPr>
          <w:snapToGrid w:val="0"/>
        </w:rPr>
        <w:t>“</w:t>
      </w:r>
    </w:p>
    <w:p>
      <w:pPr>
        <w:pStyle w:val="nzHeading5"/>
        <w:rPr>
          <w:snapToGrid w:val="0"/>
        </w:rPr>
      </w:pPr>
      <w:r>
        <w:t>109.</w:t>
      </w:r>
      <w:r>
        <w:tab/>
      </w:r>
      <w:r>
        <w:rPr>
          <w:snapToGrid w:val="0"/>
        </w:rPr>
        <w:t xml:space="preserve">Consequential amendments </w:t>
      </w:r>
    </w:p>
    <w:p>
      <w:pPr>
        <w:pStyle w:val="nzSubsection"/>
        <w:rPr>
          <w:snapToGrid w:val="0"/>
        </w:rPr>
      </w:pPr>
      <w:r>
        <w:rPr>
          <w:snapToGrid w:val="0"/>
        </w:rPr>
        <w:tab/>
      </w:r>
      <w:r>
        <w:rPr>
          <w:snapToGrid w:val="0"/>
        </w:rPr>
        <w:tab/>
        <w:t>Schedule 3 sets out consequential amendments.</w:t>
      </w:r>
    </w:p>
    <w:p>
      <w:pPr>
        <w:pStyle w:val="MiscClose"/>
        <w:rPr>
          <w:snapToGrid w:val="0"/>
        </w:rPr>
      </w:pPr>
      <w:r>
        <w:rPr>
          <w:snapToGrid w:val="0"/>
        </w:rPr>
        <w:t>”.</w:t>
      </w:r>
    </w:p>
    <w:p>
      <w:pPr>
        <w:pStyle w:val="nSubsection"/>
        <w:rPr>
          <w:rStyle w:val="CharSchNo"/>
        </w:rPr>
      </w:pPr>
      <w:r>
        <w:rPr>
          <w:rStyle w:val="CharSchNo"/>
        </w:rPr>
        <w:tab/>
        <w:t>Schedule 3 cl. 3 reads as follows:</w:t>
      </w:r>
    </w:p>
    <w:p>
      <w:pPr>
        <w:pStyle w:val="MiscOpen"/>
        <w:rPr>
          <w:snapToGrid w:val="0"/>
        </w:rPr>
      </w:pPr>
      <w:r>
        <w:rPr>
          <w:snapToGrid w:val="0"/>
        </w:rPr>
        <w:t>“</w:t>
      </w:r>
    </w:p>
    <w:p>
      <w:pPr>
        <w:pStyle w:val="nzHeading2"/>
      </w:pPr>
      <w:r>
        <w:rPr>
          <w:rStyle w:val="CharSchNo"/>
        </w:rPr>
        <w:t>Schedule 3</w:t>
      </w:r>
      <w:r>
        <w:rPr>
          <w:rStyle w:val="CharSDivNo"/>
        </w:rPr>
        <w:t> </w:t>
      </w:r>
      <w:r>
        <w:t>—</w:t>
      </w:r>
      <w:r>
        <w:rPr>
          <w:rStyle w:val="CharSDivText"/>
        </w:rPr>
        <w:t> </w:t>
      </w:r>
      <w:r>
        <w:rPr>
          <w:rStyle w:val="CharSchText"/>
        </w:rPr>
        <w:t>Consequential amendments</w:t>
      </w:r>
    </w:p>
    <w:p>
      <w:pPr>
        <w:pStyle w:val="nzMiscellaneousBody"/>
        <w:jc w:val="right"/>
      </w:pPr>
      <w:r>
        <w:t>[s. 109]</w:t>
      </w:r>
    </w:p>
    <w:p>
      <w:pPr>
        <w:pStyle w:val="nzHeading5"/>
      </w:pPr>
      <w:bookmarkStart w:id="146" w:name="_Toc8109846"/>
      <w:bookmarkStart w:id="147" w:name="_Toc13017498"/>
      <w:bookmarkStart w:id="148" w:name="_Toc67187253"/>
      <w:bookmarkStart w:id="149" w:name="_Toc73753762"/>
      <w:bookmarkStart w:id="150" w:name="_Toc121556346"/>
      <w:r>
        <w:t>3.</w:t>
      </w:r>
      <w:r>
        <w:tab/>
      </w:r>
      <w:r>
        <w:rPr>
          <w:i/>
        </w:rPr>
        <w:t>Health Professionals (Special Events Exemption) Act 2000</w:t>
      </w:r>
      <w:bookmarkEnd w:id="146"/>
      <w:bookmarkEnd w:id="147"/>
      <w:bookmarkEnd w:id="148"/>
      <w:bookmarkEnd w:id="149"/>
      <w:r>
        <w:rPr>
          <w:iCs/>
        </w:rPr>
        <w:t xml:space="preserve"> amended</w:t>
      </w:r>
      <w:bookmarkEnd w:id="150"/>
    </w:p>
    <w:p>
      <w:pPr>
        <w:pStyle w:val="nzSubsection"/>
      </w:pPr>
      <w:r>
        <w:tab/>
        <w:t>(1)</w:t>
      </w:r>
      <w:r>
        <w:tab/>
        <w:t xml:space="preserve">The amendments in this clause are to the </w:t>
      </w:r>
      <w:r>
        <w:rPr>
          <w:i/>
        </w:rPr>
        <w:t>Health Professionals (Special Events Exemption) Act 2000</w:t>
      </w:r>
      <w:r>
        <w:t>.</w:t>
      </w:r>
    </w:p>
    <w:p>
      <w:pPr>
        <w:pStyle w:val="nzSubsection"/>
      </w:pPr>
      <w:r>
        <w:tab/>
        <w:t>(2)</w:t>
      </w:r>
      <w:r>
        <w:tab/>
        <w:t>Section 3(1) is amended in the definition of “Health Registration Act” by deleting “</w:t>
      </w:r>
      <w:r>
        <w:rPr>
          <w:i/>
          <w:iCs/>
        </w:rPr>
        <w:t>Chiropractors Act 1964;</w:t>
      </w:r>
      <w:r>
        <w:t xml:space="preserve">” and inserting instead — </w:t>
      </w:r>
    </w:p>
    <w:p>
      <w:pPr>
        <w:pStyle w:val="nzSubsection"/>
      </w:pPr>
      <w:r>
        <w:tab/>
      </w:r>
      <w:r>
        <w:tab/>
        <w:t xml:space="preserve">“    </w:t>
      </w:r>
      <w:r>
        <w:rPr>
          <w:i/>
        </w:rPr>
        <w:t>Chiropractors Act 2005</w:t>
      </w:r>
      <w:r>
        <w:rPr>
          <w:iCs/>
        </w:rPr>
        <w:t>;</w:t>
      </w:r>
      <w:r>
        <w:t xml:space="preserve">    ”.</w:t>
      </w:r>
    </w:p>
    <w:p>
      <w:pPr>
        <w:pStyle w:val="MiscClose"/>
        <w:rPr>
          <w:snapToGrid w:val="0"/>
        </w:rPr>
      </w:pPr>
      <w:r>
        <w:rPr>
          <w:snapToGrid w:val="0"/>
        </w:rPr>
        <w:t>”.</w:t>
      </w:r>
    </w:p>
    <w:p>
      <w:pPr>
        <w:pStyle w:val="nSubsection"/>
      </w:pPr>
      <w:r>
        <w:rPr>
          <w:vertAlign w:val="superscript"/>
        </w:rPr>
        <w:t>6</w:t>
      </w:r>
      <w:r>
        <w:tab/>
        <w:t>Footnote no longer applicable.</w:t>
      </w:r>
    </w:p>
    <w:p>
      <w:pPr>
        <w:pStyle w:val="nSubsection"/>
        <w:rPr>
          <w:snapToGrid w:val="0"/>
        </w:rPr>
      </w:pPr>
      <w:r>
        <w:rPr>
          <w:vertAlign w:val="superscript"/>
        </w:rPr>
        <w:t>7</w:t>
      </w:r>
      <w:r>
        <w:tab/>
      </w:r>
      <w:r>
        <w:rPr>
          <w:snapToGrid w:val="0"/>
        </w:rPr>
        <w:t xml:space="preserve">On the date as at which this compilation was prepared, the </w:t>
      </w:r>
      <w:r>
        <w:rPr>
          <w:i/>
          <w:noProof/>
          <w:snapToGrid w:val="0"/>
        </w:rPr>
        <w:t>Osteopaths Act 2005</w:t>
      </w:r>
      <w:r>
        <w:rPr>
          <w:iCs/>
          <w:noProof/>
          <w:snapToGrid w:val="0"/>
        </w:rPr>
        <w:t xml:space="preserve"> s. 108, which gives effect to Sch. 3,</w:t>
      </w:r>
      <w:r>
        <w:rPr>
          <w:snapToGrid w:val="0"/>
        </w:rPr>
        <w:t xml:space="preserve"> had not come into operation.  It reads as follows:</w:t>
      </w:r>
    </w:p>
    <w:p>
      <w:pPr>
        <w:pStyle w:val="MiscOpen"/>
        <w:rPr>
          <w:snapToGrid w:val="0"/>
        </w:rPr>
      </w:pPr>
      <w:r>
        <w:rPr>
          <w:snapToGrid w:val="0"/>
        </w:rPr>
        <w:t>“</w:t>
      </w:r>
    </w:p>
    <w:p>
      <w:pPr>
        <w:pStyle w:val="nzHeading5"/>
        <w:rPr>
          <w:snapToGrid w:val="0"/>
        </w:rPr>
      </w:pPr>
      <w:bookmarkStart w:id="151" w:name="_Toc121556272"/>
      <w:bookmarkStart w:id="152" w:name="_Toc122322367"/>
      <w:r>
        <w:t>108.</w:t>
      </w:r>
      <w:r>
        <w:tab/>
      </w:r>
      <w:r>
        <w:rPr>
          <w:snapToGrid w:val="0"/>
        </w:rPr>
        <w:t>Consequential amendments</w:t>
      </w:r>
      <w:bookmarkEnd w:id="151"/>
      <w:bookmarkEnd w:id="152"/>
      <w:r>
        <w:rPr>
          <w:snapToGrid w:val="0"/>
        </w:rPr>
        <w:t xml:space="preserve"> </w:t>
      </w:r>
    </w:p>
    <w:p>
      <w:pPr>
        <w:pStyle w:val="nzSubsection"/>
        <w:rPr>
          <w:snapToGrid w:val="0"/>
        </w:rPr>
      </w:pPr>
      <w:r>
        <w:rPr>
          <w:snapToGrid w:val="0"/>
        </w:rPr>
        <w:tab/>
      </w:r>
      <w:r>
        <w:rPr>
          <w:snapToGrid w:val="0"/>
        </w:rPr>
        <w:tab/>
        <w:t>Schedule 3 sets out consequential amendments.</w:t>
      </w:r>
    </w:p>
    <w:p>
      <w:pPr>
        <w:pStyle w:val="MiscClose"/>
        <w:rPr>
          <w:snapToGrid w:val="0"/>
        </w:rPr>
      </w:pPr>
      <w:r>
        <w:rPr>
          <w:snapToGrid w:val="0"/>
        </w:rPr>
        <w:t>”.</w:t>
      </w:r>
    </w:p>
    <w:p>
      <w:pPr>
        <w:pStyle w:val="nSubsection"/>
        <w:rPr>
          <w:rStyle w:val="CharSchNo"/>
        </w:rPr>
      </w:pPr>
      <w:r>
        <w:rPr>
          <w:rStyle w:val="CharSchNo"/>
        </w:rPr>
        <w:tab/>
        <w:t>Schedule 3 cl. 3 reads as follows:</w:t>
      </w:r>
    </w:p>
    <w:p>
      <w:pPr>
        <w:pStyle w:val="MiscOpen"/>
        <w:rPr>
          <w:snapToGrid w:val="0"/>
        </w:rPr>
      </w:pPr>
      <w:r>
        <w:rPr>
          <w:snapToGrid w:val="0"/>
        </w:rPr>
        <w:t>“</w:t>
      </w:r>
    </w:p>
    <w:p>
      <w:pPr>
        <w:pStyle w:val="nzHeading2"/>
      </w:pPr>
      <w:r>
        <w:rPr>
          <w:rStyle w:val="CharSchNo"/>
        </w:rPr>
        <w:t>Schedule 3</w:t>
      </w:r>
      <w:r>
        <w:rPr>
          <w:rStyle w:val="CharSDivNo"/>
        </w:rPr>
        <w:t> </w:t>
      </w:r>
      <w:r>
        <w:t>—</w:t>
      </w:r>
      <w:r>
        <w:rPr>
          <w:rStyle w:val="CharSDivText"/>
        </w:rPr>
        <w:t> </w:t>
      </w:r>
      <w:r>
        <w:rPr>
          <w:rStyle w:val="CharSchText"/>
        </w:rPr>
        <w:t>Consequential amendments</w:t>
      </w:r>
    </w:p>
    <w:p>
      <w:pPr>
        <w:pStyle w:val="nzMiscellaneousBody"/>
        <w:jc w:val="right"/>
      </w:pPr>
      <w:r>
        <w:t>[s. 108]</w:t>
      </w:r>
    </w:p>
    <w:p>
      <w:pPr>
        <w:pStyle w:val="nzHeading5"/>
      </w:pPr>
      <w:bookmarkStart w:id="153" w:name="_Toc122239801"/>
      <w:r>
        <w:rPr>
          <w:rStyle w:val="CharSClsNo"/>
        </w:rPr>
        <w:t>3</w:t>
      </w:r>
      <w:r>
        <w:t>.</w:t>
      </w:r>
      <w:r>
        <w:tab/>
      </w:r>
      <w:r>
        <w:rPr>
          <w:i/>
          <w:iCs/>
        </w:rPr>
        <w:t xml:space="preserve">Health </w:t>
      </w:r>
      <w:r>
        <w:rPr>
          <w:i/>
        </w:rPr>
        <w:t xml:space="preserve">Professionals (Special Events Exemption) Act 2000 </w:t>
      </w:r>
      <w:r>
        <w:t>amended</w:t>
      </w:r>
      <w:bookmarkEnd w:id="153"/>
    </w:p>
    <w:p>
      <w:pPr>
        <w:pStyle w:val="nzSubsection"/>
      </w:pPr>
      <w:r>
        <w:tab/>
        <w:t>(1)</w:t>
      </w:r>
      <w:r>
        <w:tab/>
        <w:t xml:space="preserve">The amendments in this clause are to the </w:t>
      </w:r>
      <w:r>
        <w:rPr>
          <w:i/>
        </w:rPr>
        <w:t>Health Professionals (Special Events Exemption) Act 2000</w:t>
      </w:r>
      <w:r>
        <w:t>.</w:t>
      </w:r>
    </w:p>
    <w:p>
      <w:pPr>
        <w:pStyle w:val="nzSubsection"/>
      </w:pPr>
      <w:r>
        <w:tab/>
        <w:t>(2)</w:t>
      </w:r>
      <w:r>
        <w:tab/>
        <w:t>Section 3(1) is amended in the definition of “Health Registration Act” by deleting “</w:t>
      </w:r>
      <w:r>
        <w:rPr>
          <w:i/>
        </w:rPr>
        <w:t>Osteopaths Act 1997;</w:t>
      </w:r>
      <w:r>
        <w:t xml:space="preserve">” and inserting instead — </w:t>
      </w:r>
    </w:p>
    <w:p>
      <w:pPr>
        <w:pStyle w:val="nzSubsection"/>
      </w:pPr>
      <w:r>
        <w:tab/>
      </w:r>
      <w:r>
        <w:tab/>
        <w:t xml:space="preserve">“    </w:t>
      </w:r>
      <w:r>
        <w:rPr>
          <w:i/>
          <w:sz w:val="24"/>
        </w:rPr>
        <w:t>Osteopaths Act 2005</w:t>
      </w:r>
      <w:r>
        <w:rPr>
          <w:iCs/>
          <w:sz w:val="24"/>
        </w:rPr>
        <w:t>;</w:t>
      </w:r>
      <w:r>
        <w:t xml:space="preserve">    ”.</w:t>
      </w:r>
    </w:p>
    <w:p>
      <w:pPr>
        <w:pStyle w:val="MiscClose"/>
        <w:rPr>
          <w:snapToGrid w:val="0"/>
        </w:rPr>
      </w:pPr>
      <w:r>
        <w:rPr>
          <w:snapToGrid w:val="0"/>
        </w:rPr>
        <w:t>”.</w:t>
      </w:r>
    </w:p>
    <w:p>
      <w:pPr>
        <w:pStyle w:val="nSubsection"/>
        <w:rPr>
          <w:snapToGrid w:val="0"/>
        </w:rPr>
      </w:pPr>
      <w:r>
        <w:rPr>
          <w:vertAlign w:val="superscript"/>
        </w:rPr>
        <w:t>8</w:t>
      </w:r>
      <w:r>
        <w:tab/>
      </w:r>
      <w:r>
        <w:rPr>
          <w:snapToGrid w:val="0"/>
        </w:rPr>
        <w:t xml:space="preserve">On the date as at which this compilation was prepared, the </w:t>
      </w:r>
      <w:r>
        <w:rPr>
          <w:i/>
          <w:noProof/>
          <w:snapToGrid w:val="0"/>
          <w:sz w:val="19"/>
        </w:rPr>
        <w:t xml:space="preserve">Occupational Therapists Act 2005 </w:t>
      </w:r>
      <w:r>
        <w:rPr>
          <w:iCs/>
          <w:noProof/>
          <w:snapToGrid w:val="0"/>
          <w:sz w:val="19"/>
        </w:rPr>
        <w:t>s. 109, which gives effect to Sch. 3,</w:t>
      </w:r>
      <w:r>
        <w:rPr>
          <w:snapToGrid w:val="0"/>
        </w:rPr>
        <w:t xml:space="preserve"> had not come into operation.  It reads as follows:</w:t>
      </w:r>
    </w:p>
    <w:p>
      <w:pPr>
        <w:pStyle w:val="MiscOpen"/>
        <w:rPr>
          <w:snapToGrid w:val="0"/>
        </w:rPr>
      </w:pPr>
      <w:r>
        <w:rPr>
          <w:snapToGrid w:val="0"/>
        </w:rPr>
        <w:t>“</w:t>
      </w:r>
    </w:p>
    <w:p>
      <w:pPr>
        <w:pStyle w:val="nzHeading5"/>
        <w:rPr>
          <w:snapToGrid w:val="0"/>
        </w:rPr>
      </w:pPr>
      <w:bookmarkStart w:id="154" w:name="_Toc122229776"/>
      <w:r>
        <w:rPr>
          <w:rStyle w:val="CharSectno"/>
        </w:rPr>
        <w:t>109</w:t>
      </w:r>
      <w:r>
        <w:t>.</w:t>
      </w:r>
      <w:r>
        <w:tab/>
      </w:r>
      <w:r>
        <w:rPr>
          <w:snapToGrid w:val="0"/>
        </w:rPr>
        <w:t>Consequential amendments</w:t>
      </w:r>
      <w:bookmarkEnd w:id="154"/>
      <w:r>
        <w:rPr>
          <w:snapToGrid w:val="0"/>
        </w:rPr>
        <w:t xml:space="preserve"> </w:t>
      </w:r>
    </w:p>
    <w:p>
      <w:pPr>
        <w:pStyle w:val="nzSubsection"/>
        <w:rPr>
          <w:snapToGrid w:val="0"/>
        </w:rPr>
      </w:pPr>
      <w:r>
        <w:rPr>
          <w:snapToGrid w:val="0"/>
        </w:rPr>
        <w:tab/>
      </w:r>
      <w:r>
        <w:rPr>
          <w:snapToGrid w:val="0"/>
        </w:rPr>
        <w:tab/>
        <w:t>Schedule 3 sets out consequential amendments.</w:t>
      </w:r>
    </w:p>
    <w:p>
      <w:pPr>
        <w:pStyle w:val="MiscClose"/>
        <w:rPr>
          <w:snapToGrid w:val="0"/>
        </w:rPr>
      </w:pPr>
      <w:r>
        <w:rPr>
          <w:snapToGrid w:val="0"/>
        </w:rPr>
        <w:t>”.</w:t>
      </w:r>
    </w:p>
    <w:p>
      <w:pPr>
        <w:pStyle w:val="nSubsection"/>
      </w:pPr>
      <w:r>
        <w:tab/>
        <w:t>Schedule 3 cl. 3 reads as follows:</w:t>
      </w:r>
    </w:p>
    <w:p>
      <w:pPr>
        <w:pStyle w:val="MiscOpen"/>
      </w:pPr>
      <w:r>
        <w:t>“</w:t>
      </w:r>
    </w:p>
    <w:p>
      <w:pPr>
        <w:pStyle w:val="nzHeading2"/>
      </w:pPr>
      <w:bookmarkStart w:id="155" w:name="_Toc106785160"/>
      <w:bookmarkStart w:id="156" w:name="_Toc107298796"/>
      <w:bookmarkStart w:id="157" w:name="_Toc121301222"/>
      <w:bookmarkStart w:id="158" w:name="_Toc121301402"/>
      <w:bookmarkStart w:id="159" w:name="_Toc122142357"/>
      <w:bookmarkStart w:id="160" w:name="_Toc122229633"/>
      <w:bookmarkStart w:id="161" w:name="_Toc122229813"/>
      <w:r>
        <w:rPr>
          <w:rStyle w:val="CharSchNo"/>
        </w:rPr>
        <w:t>Schedule 3</w:t>
      </w:r>
      <w:r>
        <w:rPr>
          <w:rStyle w:val="CharSDivNo"/>
        </w:rPr>
        <w:t> </w:t>
      </w:r>
      <w:r>
        <w:t>—</w:t>
      </w:r>
      <w:r>
        <w:rPr>
          <w:rStyle w:val="CharSDivText"/>
        </w:rPr>
        <w:t> </w:t>
      </w:r>
      <w:r>
        <w:rPr>
          <w:rStyle w:val="CharSchText"/>
        </w:rPr>
        <w:t>Consequential amendments</w:t>
      </w:r>
      <w:bookmarkEnd w:id="155"/>
      <w:bookmarkEnd w:id="156"/>
      <w:bookmarkEnd w:id="157"/>
      <w:bookmarkEnd w:id="158"/>
      <w:bookmarkEnd w:id="159"/>
      <w:bookmarkEnd w:id="160"/>
      <w:bookmarkEnd w:id="161"/>
    </w:p>
    <w:p>
      <w:pPr>
        <w:pStyle w:val="nzMiscellaneousBody"/>
        <w:jc w:val="right"/>
      </w:pPr>
      <w:r>
        <w:t>[s. 109]</w:t>
      </w:r>
    </w:p>
    <w:p>
      <w:pPr>
        <w:pStyle w:val="nzHeading5"/>
      </w:pPr>
      <w:bookmarkStart w:id="162" w:name="_Toc122229816"/>
      <w:r>
        <w:rPr>
          <w:rStyle w:val="CharSClsNo"/>
          <w:sz w:val="20"/>
        </w:rPr>
        <w:t>3</w:t>
      </w:r>
      <w:r>
        <w:t>.</w:t>
      </w:r>
      <w:r>
        <w:tab/>
      </w:r>
      <w:r>
        <w:rPr>
          <w:i/>
          <w:iCs/>
        </w:rPr>
        <w:t xml:space="preserve">Health </w:t>
      </w:r>
      <w:r>
        <w:rPr>
          <w:i/>
        </w:rPr>
        <w:t>Professionals (Special Events Exemption) Act 2000</w:t>
      </w:r>
      <w:r>
        <w:rPr>
          <w:iCs/>
        </w:rPr>
        <w:t xml:space="preserve"> amended</w:t>
      </w:r>
      <w:bookmarkEnd w:id="162"/>
    </w:p>
    <w:p>
      <w:pPr>
        <w:pStyle w:val="nzSubsection"/>
      </w:pPr>
      <w:r>
        <w:tab/>
        <w:t>(1)</w:t>
      </w:r>
      <w:r>
        <w:tab/>
        <w:t xml:space="preserve">The amendments in this clause are to the </w:t>
      </w:r>
      <w:r>
        <w:rPr>
          <w:i/>
        </w:rPr>
        <w:t>Health Professionals (Special Events Exemption) Act 2000</w:t>
      </w:r>
      <w:r>
        <w:t>.</w:t>
      </w:r>
    </w:p>
    <w:p>
      <w:pPr>
        <w:pStyle w:val="nzSubsection"/>
      </w:pPr>
      <w:r>
        <w:tab/>
        <w:t>(2)</w:t>
      </w:r>
      <w:r>
        <w:tab/>
        <w:t>Section 3(1) is amended in the definition of “Health Registration Act” by deleting “</w:t>
      </w:r>
      <w:r>
        <w:rPr>
          <w:i/>
          <w:iCs/>
        </w:rPr>
        <w:t>Occupational Therapists Registration Act 1980;</w:t>
      </w:r>
      <w:r>
        <w:t xml:space="preserve">” and inserting instead — </w:t>
      </w:r>
    </w:p>
    <w:p>
      <w:pPr>
        <w:pStyle w:val="nzSubsection"/>
      </w:pPr>
      <w:r>
        <w:tab/>
      </w:r>
      <w:r>
        <w:tab/>
        <w:t xml:space="preserve">“    </w:t>
      </w:r>
      <w:r>
        <w:rPr>
          <w:i/>
        </w:rPr>
        <w:t>Occupational Therapists Act 2005</w:t>
      </w:r>
      <w:r>
        <w:rPr>
          <w:iCs/>
        </w:rPr>
        <w:t>;</w:t>
      </w:r>
      <w:r>
        <w:t xml:space="preserve">    ”.</w:t>
      </w:r>
    </w:p>
    <w:p>
      <w:pPr>
        <w:pStyle w:val="MiscClose"/>
      </w:pPr>
      <w:r>
        <w:t>”.</w:t>
      </w:r>
    </w:p>
    <w:p>
      <w:pPr>
        <w:pStyle w:val="nSubsection"/>
        <w:rPr>
          <w:snapToGrid w:val="0"/>
        </w:rPr>
      </w:pPr>
      <w:r>
        <w:rPr>
          <w:vertAlign w:val="superscript"/>
        </w:rPr>
        <w:t>9</w:t>
      </w:r>
      <w:r>
        <w:tab/>
      </w:r>
      <w:r>
        <w:rPr>
          <w:snapToGrid w:val="0"/>
        </w:rPr>
        <w:t xml:space="preserve">On the date as at which this compilation was prepared, the </w:t>
      </w:r>
      <w:r>
        <w:rPr>
          <w:i/>
          <w:noProof/>
          <w:snapToGrid w:val="0"/>
          <w:sz w:val="19"/>
        </w:rPr>
        <w:t>Medical Radiation Technologists Act 2006</w:t>
      </w:r>
      <w:r>
        <w:rPr>
          <w:iCs/>
          <w:noProof/>
          <w:snapToGrid w:val="0"/>
          <w:sz w:val="19"/>
        </w:rPr>
        <w:t xml:space="preserve"> s. 105</w:t>
      </w:r>
      <w:r>
        <w:rPr>
          <w:snapToGrid w:val="0"/>
        </w:rPr>
        <w:t>, which gives effect to Sch. 3, had not come into operation.  It reads as follows:</w:t>
      </w:r>
    </w:p>
    <w:p>
      <w:pPr>
        <w:pStyle w:val="MiscOpen"/>
        <w:rPr>
          <w:snapToGrid w:val="0"/>
        </w:rPr>
      </w:pPr>
      <w:r>
        <w:rPr>
          <w:snapToGrid w:val="0"/>
        </w:rPr>
        <w:t>“</w:t>
      </w:r>
    </w:p>
    <w:p>
      <w:pPr>
        <w:pStyle w:val="nzHeading5"/>
        <w:spacing w:before="0"/>
        <w:rPr>
          <w:snapToGrid w:val="0"/>
        </w:rPr>
      </w:pPr>
      <w:r>
        <w:rPr>
          <w:rStyle w:val="CharSectno"/>
        </w:rPr>
        <w:t>105</w:t>
      </w:r>
      <w:r>
        <w:t>.</w:t>
      </w:r>
      <w:r>
        <w:tab/>
      </w:r>
      <w:r>
        <w:rPr>
          <w:snapToGrid w:val="0"/>
        </w:rPr>
        <w:t xml:space="preserve">Consequential amendments </w:t>
      </w:r>
    </w:p>
    <w:p>
      <w:pPr>
        <w:pStyle w:val="nzSubsection"/>
        <w:rPr>
          <w:snapToGrid w:val="0"/>
        </w:rPr>
      </w:pPr>
      <w:r>
        <w:rPr>
          <w:snapToGrid w:val="0"/>
        </w:rPr>
        <w:tab/>
      </w:r>
      <w:r>
        <w:rPr>
          <w:snapToGrid w:val="0"/>
        </w:rPr>
        <w:tab/>
        <w:t>Schedule 3 sets out consequential amendments.</w:t>
      </w:r>
    </w:p>
    <w:p>
      <w:pPr>
        <w:pStyle w:val="MiscClose"/>
        <w:rPr>
          <w:snapToGrid w:val="0"/>
        </w:rPr>
      </w:pPr>
      <w:r>
        <w:rPr>
          <w:snapToGrid w:val="0"/>
        </w:rPr>
        <w:t>”.</w:t>
      </w:r>
    </w:p>
    <w:p>
      <w:pPr>
        <w:pStyle w:val="nSubsection"/>
      </w:pPr>
      <w:r>
        <w:tab/>
        <w:t>Schedule 3 cl. 3 reads as follows:</w:t>
      </w:r>
    </w:p>
    <w:p>
      <w:pPr>
        <w:pStyle w:val="MiscOpen"/>
      </w:pPr>
      <w:r>
        <w:t>“</w:t>
      </w:r>
    </w:p>
    <w:p>
      <w:pPr>
        <w:pStyle w:val="nzHeading2"/>
      </w:pPr>
      <w:r>
        <w:rPr>
          <w:rStyle w:val="CharSchNo"/>
        </w:rPr>
        <w:t>Schedule 3</w:t>
      </w:r>
      <w:r>
        <w:rPr>
          <w:rStyle w:val="CharSDivNo"/>
        </w:rPr>
        <w:t> </w:t>
      </w:r>
      <w:r>
        <w:t>—</w:t>
      </w:r>
      <w:r>
        <w:rPr>
          <w:rStyle w:val="CharSDivText"/>
        </w:rPr>
        <w:t> </w:t>
      </w:r>
      <w:r>
        <w:rPr>
          <w:rStyle w:val="CharSchText"/>
        </w:rPr>
        <w:t>Consequential amendments</w:t>
      </w:r>
    </w:p>
    <w:p>
      <w:pPr>
        <w:pStyle w:val="nzMiscellaneousBody"/>
        <w:jc w:val="right"/>
      </w:pPr>
      <w:r>
        <w:t>[s. 105]</w:t>
      </w:r>
    </w:p>
    <w:p>
      <w:pPr>
        <w:pStyle w:val="nzHeading5"/>
      </w:pPr>
      <w:bookmarkStart w:id="163" w:name="_Toc111524437"/>
      <w:bookmarkStart w:id="164" w:name="_Toc136942075"/>
      <w:bookmarkStart w:id="165" w:name="_Toc137969381"/>
      <w:r>
        <w:rPr>
          <w:rStyle w:val="CharSClsNo"/>
        </w:rPr>
        <w:t>3</w:t>
      </w:r>
      <w:r>
        <w:t>.</w:t>
      </w:r>
      <w:r>
        <w:tab/>
      </w:r>
      <w:r>
        <w:rPr>
          <w:i/>
          <w:iCs/>
        </w:rPr>
        <w:t xml:space="preserve">Health </w:t>
      </w:r>
      <w:r>
        <w:rPr>
          <w:i/>
        </w:rPr>
        <w:t xml:space="preserve">Professionals (Special Events Exemption) Act 2000 </w:t>
      </w:r>
      <w:r>
        <w:rPr>
          <w:iCs/>
        </w:rPr>
        <w:t>amended</w:t>
      </w:r>
      <w:bookmarkEnd w:id="163"/>
      <w:bookmarkEnd w:id="164"/>
      <w:bookmarkEnd w:id="165"/>
    </w:p>
    <w:p>
      <w:pPr>
        <w:pStyle w:val="nzSubsection"/>
      </w:pPr>
      <w:r>
        <w:tab/>
        <w:t>(1)</w:t>
      </w:r>
      <w:r>
        <w:tab/>
        <w:t xml:space="preserve">The amendment in this clause is to the </w:t>
      </w:r>
      <w:r>
        <w:rPr>
          <w:i/>
        </w:rPr>
        <w:t>Health Professionals (Special Events Exemption) Act 2000</w:t>
      </w:r>
      <w:r>
        <w:t>.</w:t>
      </w:r>
    </w:p>
    <w:p>
      <w:pPr>
        <w:pStyle w:val="nzSubsection"/>
      </w:pPr>
      <w:r>
        <w:tab/>
        <w:t>(2)</w:t>
      </w:r>
      <w:r>
        <w:tab/>
        <w:t xml:space="preserve">Section 3(1) is amended in the definition of “Health Registration Act” by inserting the following in the appropriate alphabetical position — </w:t>
      </w:r>
    </w:p>
    <w:p>
      <w:pPr>
        <w:pStyle w:val="nzSubsection"/>
      </w:pPr>
      <w:r>
        <w:tab/>
      </w:r>
      <w:r>
        <w:tab/>
        <w:t xml:space="preserve">“    </w:t>
      </w:r>
      <w:r>
        <w:rPr>
          <w:i/>
          <w:iCs/>
        </w:rPr>
        <w:t>Medical Radiation Technologists Act 2006</w:t>
      </w:r>
      <w:r>
        <w:t>;    ”.</w:t>
      </w:r>
    </w:p>
    <w:p>
      <w:pPr>
        <w:pStyle w:val="MiscClose"/>
        <w:rPr>
          <w:snapToGrid w:val="0"/>
        </w:rPr>
      </w:pPr>
      <w:r>
        <w:rPr>
          <w:snapToGrid w:val="0"/>
        </w:rPr>
        <w:t>”.</w:t>
      </w:r>
    </w:p>
    <w:p>
      <w:pPr>
        <w:pStyle w:val="nSubsection"/>
        <w:rPr>
          <w:snapToGrid w:val="0"/>
        </w:rPr>
      </w:pPr>
      <w:r>
        <w:rPr>
          <w:snapToGrid w:val="0"/>
          <w:vertAlign w:val="superscript"/>
        </w:rPr>
        <w:t>10</w:t>
      </w:r>
      <w:r>
        <w:rPr>
          <w:snapToGrid w:val="0"/>
        </w:rPr>
        <w:tab/>
        <w:t xml:space="preserve">On the date as at which this compilation was prepared, the </w:t>
      </w:r>
      <w:r>
        <w:rPr>
          <w:i/>
          <w:iCs/>
          <w:snapToGrid w:val="0"/>
          <w:lang w:val="en-US"/>
        </w:rPr>
        <w:t xml:space="preserve">Nurses and Midwives Act 2006 </w:t>
      </w:r>
      <w:r>
        <w:rPr>
          <w:snapToGrid w:val="0"/>
          <w:lang w:val="en-US"/>
        </w:rPr>
        <w:t>s. 114</w:t>
      </w:r>
      <w:r>
        <w:rPr>
          <w:i/>
          <w:iCs/>
          <w:snapToGrid w:val="0"/>
          <w:lang w:val="en-US"/>
        </w:rPr>
        <w:t xml:space="preserve">, </w:t>
      </w:r>
      <w:r>
        <w:rPr>
          <w:snapToGrid w:val="0"/>
          <w:lang w:val="en-US"/>
        </w:rPr>
        <w:t xml:space="preserve">which </w:t>
      </w:r>
      <w:r>
        <w:rPr>
          <w:snapToGrid w:val="0"/>
        </w:rPr>
        <w:t>gives effect to Sch. 3, had not come into operation.  It reads as follows:</w:t>
      </w:r>
    </w:p>
    <w:p>
      <w:pPr>
        <w:pStyle w:val="MiscOpen"/>
        <w:rPr>
          <w:snapToGrid w:val="0"/>
        </w:rPr>
      </w:pPr>
      <w:r>
        <w:rPr>
          <w:snapToGrid w:val="0"/>
        </w:rPr>
        <w:t>“</w:t>
      </w:r>
    </w:p>
    <w:p>
      <w:pPr>
        <w:pStyle w:val="nzHeading5"/>
        <w:rPr>
          <w:snapToGrid w:val="0"/>
        </w:rPr>
      </w:pPr>
      <w:bookmarkStart w:id="166" w:name="_Toc520089319"/>
      <w:bookmarkStart w:id="167" w:name="_Toc40079665"/>
      <w:bookmarkStart w:id="168" w:name="_Toc76798033"/>
      <w:bookmarkStart w:id="169" w:name="_Toc101250727"/>
      <w:bookmarkStart w:id="170" w:name="_Toc111027996"/>
      <w:bookmarkStart w:id="171" w:name="_Toc147293455"/>
      <w:bookmarkStart w:id="172" w:name="_Toc148158468"/>
      <w:r>
        <w:rPr>
          <w:rStyle w:val="CharSectno"/>
        </w:rPr>
        <w:t>114</w:t>
      </w:r>
      <w:r>
        <w:t>.</w:t>
      </w:r>
      <w:r>
        <w:tab/>
      </w:r>
      <w:r>
        <w:rPr>
          <w:snapToGrid w:val="0"/>
        </w:rPr>
        <w:t>Consequential amendments</w:t>
      </w:r>
      <w:bookmarkEnd w:id="166"/>
      <w:bookmarkEnd w:id="167"/>
      <w:bookmarkEnd w:id="168"/>
      <w:bookmarkEnd w:id="169"/>
      <w:bookmarkEnd w:id="170"/>
      <w:bookmarkEnd w:id="171"/>
      <w:bookmarkEnd w:id="172"/>
      <w:r>
        <w:rPr>
          <w:snapToGrid w:val="0"/>
        </w:rPr>
        <w:t xml:space="preserve"> </w:t>
      </w:r>
    </w:p>
    <w:p>
      <w:pPr>
        <w:pStyle w:val="nzSubsection"/>
        <w:rPr>
          <w:snapToGrid w:val="0"/>
        </w:rPr>
      </w:pPr>
      <w:r>
        <w:rPr>
          <w:snapToGrid w:val="0"/>
        </w:rPr>
        <w:tab/>
      </w:r>
      <w:r>
        <w:rPr>
          <w:snapToGrid w:val="0"/>
        </w:rPr>
        <w:tab/>
        <w:t>Schedule 3 sets out consequential amendments.</w:t>
      </w:r>
    </w:p>
    <w:p>
      <w:pPr>
        <w:pStyle w:val="MiscClose"/>
        <w:rPr>
          <w:snapToGrid w:val="0"/>
        </w:rPr>
      </w:pPr>
      <w:r>
        <w:rPr>
          <w:snapToGrid w:val="0"/>
        </w:rPr>
        <w:t>”.</w:t>
      </w:r>
    </w:p>
    <w:p>
      <w:pPr>
        <w:pStyle w:val="nSubsection"/>
        <w:rPr>
          <w:snapToGrid w:val="0"/>
        </w:rPr>
      </w:pPr>
      <w:r>
        <w:rPr>
          <w:snapToGrid w:val="0"/>
        </w:rPr>
        <w:tab/>
        <w:t>Schedule 3 cl. 10 reads as follows:</w:t>
      </w:r>
    </w:p>
    <w:p>
      <w:pPr>
        <w:pStyle w:val="nSubsection"/>
        <w:rPr>
          <w:snapToGrid w:val="0"/>
        </w:rPr>
      </w:pPr>
      <w:r>
        <w:rPr>
          <w:snapToGrid w:val="0"/>
        </w:rPr>
        <w:t>“</w:t>
      </w:r>
    </w:p>
    <w:p>
      <w:pPr>
        <w:pStyle w:val="nzHeading2"/>
      </w:pPr>
      <w:bookmarkStart w:id="173" w:name="_Toc111028039"/>
      <w:bookmarkStart w:id="174" w:name="_Toc111352295"/>
      <w:bookmarkStart w:id="175" w:name="_Toc111352497"/>
      <w:bookmarkStart w:id="176" w:name="_Toc111353830"/>
      <w:bookmarkStart w:id="177" w:name="_Toc111358390"/>
      <w:bookmarkStart w:id="178" w:name="_Toc111362091"/>
      <w:bookmarkStart w:id="179" w:name="_Toc111363361"/>
      <w:bookmarkStart w:id="180" w:name="_Toc111435417"/>
      <w:bookmarkStart w:id="181" w:name="_Toc113075121"/>
      <w:bookmarkStart w:id="182" w:name="_Toc113851218"/>
      <w:bookmarkStart w:id="183" w:name="_Toc113852926"/>
      <w:bookmarkStart w:id="184" w:name="_Toc113943040"/>
      <w:bookmarkStart w:id="185" w:name="_Toc114454917"/>
      <w:bookmarkStart w:id="186" w:name="_Toc114468949"/>
      <w:bookmarkStart w:id="187" w:name="_Toc114470899"/>
      <w:bookmarkStart w:id="188" w:name="_Toc114473349"/>
      <w:bookmarkStart w:id="189" w:name="_Toc114533556"/>
      <w:bookmarkStart w:id="190" w:name="_Toc114620246"/>
      <w:bookmarkStart w:id="191" w:name="_Toc114621085"/>
      <w:bookmarkStart w:id="192" w:name="_Toc114621742"/>
      <w:bookmarkStart w:id="193" w:name="_Toc114626552"/>
      <w:bookmarkStart w:id="194" w:name="_Toc114906346"/>
      <w:bookmarkStart w:id="195" w:name="_Toc114964949"/>
      <w:bookmarkStart w:id="196" w:name="_Toc114972705"/>
      <w:bookmarkStart w:id="197" w:name="_Toc114972912"/>
      <w:bookmarkStart w:id="198" w:name="_Toc114984085"/>
      <w:bookmarkStart w:id="199" w:name="_Toc115076531"/>
      <w:bookmarkStart w:id="200" w:name="_Toc115079072"/>
      <w:bookmarkStart w:id="201" w:name="_Toc115157954"/>
      <w:bookmarkStart w:id="202" w:name="_Toc116107778"/>
      <w:bookmarkStart w:id="203" w:name="_Toc116178665"/>
      <w:bookmarkStart w:id="204" w:name="_Toc116178872"/>
      <w:bookmarkStart w:id="205" w:name="_Toc116179079"/>
      <w:bookmarkStart w:id="206" w:name="_Toc116183789"/>
      <w:bookmarkStart w:id="207" w:name="_Toc116207186"/>
      <w:bookmarkStart w:id="208" w:name="_Toc116276444"/>
      <w:bookmarkStart w:id="209" w:name="_Toc116279197"/>
      <w:bookmarkStart w:id="210" w:name="_Toc116346743"/>
      <w:bookmarkStart w:id="211" w:name="_Toc117318263"/>
      <w:bookmarkStart w:id="212" w:name="_Toc117403394"/>
      <w:bookmarkStart w:id="213" w:name="_Toc117403735"/>
      <w:bookmarkStart w:id="214" w:name="_Toc117405260"/>
      <w:bookmarkStart w:id="215" w:name="_Toc117925373"/>
      <w:bookmarkStart w:id="216" w:name="_Toc117925654"/>
      <w:bookmarkStart w:id="217" w:name="_Toc117925958"/>
      <w:bookmarkStart w:id="218" w:name="_Toc119212547"/>
      <w:bookmarkStart w:id="219" w:name="_Toc119216700"/>
      <w:bookmarkStart w:id="220" w:name="_Toc147293124"/>
      <w:bookmarkStart w:id="221" w:name="_Toc147293500"/>
      <w:bookmarkStart w:id="222" w:name="_Toc148158513"/>
      <w:r>
        <w:rPr>
          <w:rStyle w:val="CharSchNo"/>
        </w:rPr>
        <w:t>Schedule 3</w:t>
      </w:r>
      <w:r>
        <w:rPr>
          <w:rStyle w:val="CharSDivNo"/>
        </w:rPr>
        <w:t> </w:t>
      </w:r>
      <w:r>
        <w:t>—</w:t>
      </w:r>
      <w:r>
        <w:rPr>
          <w:rStyle w:val="CharSDivText"/>
        </w:rPr>
        <w:t> </w:t>
      </w:r>
      <w:r>
        <w:rPr>
          <w:rStyle w:val="CharSchText"/>
        </w:rPr>
        <w:t>Consequential amendments</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pPr>
        <w:pStyle w:val="nzMiscellaneousBody"/>
        <w:jc w:val="right"/>
      </w:pPr>
      <w:r>
        <w:t>[s. 114]</w:t>
      </w:r>
    </w:p>
    <w:p>
      <w:pPr>
        <w:pStyle w:val="nzHeading5"/>
      </w:pPr>
      <w:bookmarkStart w:id="223" w:name="_Toc111028049"/>
      <w:bookmarkStart w:id="224" w:name="_Toc147293510"/>
      <w:bookmarkStart w:id="225" w:name="_Toc148158523"/>
      <w:r>
        <w:rPr>
          <w:rStyle w:val="CharSClsNo"/>
        </w:rPr>
        <w:t>10</w:t>
      </w:r>
      <w:r>
        <w:t>.</w:t>
      </w:r>
      <w:r>
        <w:tab/>
      </w:r>
      <w:r>
        <w:rPr>
          <w:i/>
          <w:iCs/>
        </w:rPr>
        <w:t xml:space="preserve">Health </w:t>
      </w:r>
      <w:r>
        <w:rPr>
          <w:i/>
        </w:rPr>
        <w:t xml:space="preserve">Professionals (Special Events Exemption) Act 2000 </w:t>
      </w:r>
      <w:r>
        <w:t>amended</w:t>
      </w:r>
      <w:bookmarkEnd w:id="223"/>
      <w:bookmarkEnd w:id="224"/>
      <w:bookmarkEnd w:id="225"/>
    </w:p>
    <w:p>
      <w:pPr>
        <w:pStyle w:val="nzSubsection"/>
      </w:pPr>
      <w:r>
        <w:tab/>
        <w:t>(1)</w:t>
      </w:r>
      <w:r>
        <w:tab/>
        <w:t xml:space="preserve">The amendments in this clause are to the </w:t>
      </w:r>
      <w:r>
        <w:rPr>
          <w:i/>
        </w:rPr>
        <w:t>Health Professionals (Special Events Exemption) Act 2000</w:t>
      </w:r>
      <w:r>
        <w:t xml:space="preserve">. </w:t>
      </w:r>
    </w:p>
    <w:p>
      <w:pPr>
        <w:pStyle w:val="nzSubsection"/>
      </w:pPr>
      <w:r>
        <w:tab/>
        <w:t>(2)</w:t>
      </w:r>
      <w:r>
        <w:tab/>
        <w:t>Section 3(1) is amended in the definition of “Health Registration Act” by deleting “</w:t>
      </w:r>
      <w:r>
        <w:rPr>
          <w:i/>
          <w:iCs/>
        </w:rPr>
        <w:t>Nurses Act 1992;</w:t>
      </w:r>
      <w:r>
        <w:t xml:space="preserve">” and inserting instead — </w:t>
      </w:r>
    </w:p>
    <w:p>
      <w:pPr>
        <w:pStyle w:val="nzSubsection"/>
      </w:pPr>
      <w:r>
        <w:tab/>
      </w:r>
      <w:r>
        <w:tab/>
        <w:t xml:space="preserve">“    </w:t>
      </w:r>
      <w:r>
        <w:rPr>
          <w:i/>
          <w:sz w:val="24"/>
        </w:rPr>
        <w:t>Nurses and Midwives Act 2006</w:t>
      </w:r>
      <w:r>
        <w:rPr>
          <w:iCs/>
          <w:sz w:val="24"/>
        </w:rPr>
        <w:t>;</w:t>
      </w:r>
      <w:r>
        <w:t xml:space="preserve">    ”.</w:t>
      </w:r>
    </w:p>
    <w:p>
      <w:pPr>
        <w:pStyle w:val="MiscClose"/>
        <w:rPr>
          <w:snapToGrid w:val="0"/>
        </w:rPr>
      </w:pPr>
      <w:r>
        <w:rPr>
          <w:snapToGrid w:val="0"/>
        </w:rPr>
        <w:t>”.</w:t>
      </w:r>
    </w:p>
    <w:p/>
    <w:p>
      <w:pPr>
        <w:sectPr>
          <w:headerReference w:type="even" r:id="rId25"/>
          <w:headerReference w:type="default" r:id="rId26"/>
          <w:headerReference w:type="first" r:id="rId27"/>
          <w:pgSz w:w="11906" w:h="16838" w:code="9"/>
          <w:pgMar w:top="2376" w:right="2405" w:bottom="3542" w:left="2405" w:header="706" w:footer="3380" w:gutter="0"/>
          <w:cols w:space="720"/>
          <w:noEndnote/>
          <w:docGrid w:linePitch="326"/>
        </w:sectPr>
      </w:pPr>
    </w:p>
    <w:p>
      <w:pPr>
        <w:rPr>
          <w:sz w:val="22"/>
        </w:rPr>
      </w:pPr>
    </w:p>
    <w:sectPr>
      <w:headerReference w:type="even" r:id="rId28"/>
      <w:headerReference w:type="default" r:id="rId29"/>
      <w:pgSz w:w="11907" w:h="16840" w:code="9"/>
      <w:pgMar w:top="567" w:right="2410" w:bottom="567" w:left="2410" w:header="720" w:footer="3380" w:gutter="0"/>
      <w:paperSrc w:first="4"/>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00-k0-03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23 Feb 2007</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23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00-k0-03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23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00-k0-03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00-k0-03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23 Feb 2007</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23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00-k0-03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23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00-k0-03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18</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00-k0-03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23 Feb 2007</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23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00-k0-03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19</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23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00-k0-03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Health Professionals (Special Events Exemption) Act 2000</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Health Professionals (Special Events Exemption) Act 2000</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TextLef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Health Professionals (Special Events Exemption) Act 2000</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Health Professionals (Special Events Exemption) Act 2000</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Health Professionals (Special Events Exemption) Act 2000</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Health Professionals (Special Events Exemption) Act 2000</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Health Professionals (Special Events Exemption) Act 2000</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C7E57D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DD6ADF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32672E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D4E8016"/>
    <w:lvl w:ilvl="0">
      <w:start w:val="1"/>
      <w:numFmt w:val="decimal"/>
      <w:pStyle w:val="ListNumber2"/>
      <w:lvlText w:val="%1."/>
      <w:lvlJc w:val="left"/>
      <w:pPr>
        <w:tabs>
          <w:tab w:val="num" w:pos="720"/>
        </w:tabs>
        <w:ind w:left="720" w:hanging="360"/>
      </w:pPr>
    </w:lvl>
  </w:abstractNum>
  <w:abstractNum w:abstractNumId="4">
    <w:nsid w:val="FFFFFF80"/>
    <w:multiLevelType w:val="singleLevel"/>
    <w:tmpl w:val="30A6B93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96C87B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48C5C4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84407E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5685B0"/>
    <w:lvl w:ilvl="0">
      <w:start w:val="1"/>
      <w:numFmt w:val="decimal"/>
      <w:pStyle w:val="ListNumber"/>
      <w:lvlText w:val="%1."/>
      <w:lvlJc w:val="left"/>
      <w:pPr>
        <w:tabs>
          <w:tab w:val="num" w:pos="360"/>
        </w:tabs>
        <w:ind w:left="360" w:hanging="360"/>
      </w:pPr>
    </w:lvl>
  </w:abstractNum>
  <w:abstractNum w:abstractNumId="9">
    <w:nsid w:val="FFFFFF89"/>
    <w:multiLevelType w:val="singleLevel"/>
    <w:tmpl w:val="187C95B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258E0BE6"/>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2A2677AA"/>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E068B58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0">
    <w:nsid w:val="3C2808C0"/>
    <w:multiLevelType w:val="singleLevel"/>
    <w:tmpl w:val="06D202E0"/>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7">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activeWritingStyle w:appName="MSWord" w:lang="en-AU"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1133002"/>
    <w:docVar w:name="WAFER_20151211133002" w:val="RemoveTrackChanges"/>
    <w:docVar w:name="WAFER_20151211133002_GUID" w:val="f4f1264c-a33b-44f6-ad4a-28bcef92d801"/>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noProof w:val="0"/>
      <w:sz w:val="22"/>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SignatureText">
    <w:name w:val="SignatureText"/>
    <w:basedOn w:val="Normal"/>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noProof w:val="0"/>
      <w:sz w:val="22"/>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SignatureText">
    <w:name w:val="SignatureText"/>
    <w:basedOn w:val="Normal"/>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3987</Words>
  <Characters>20055</Characters>
  <Application>Microsoft Office Word</Application>
  <DocSecurity>0</DocSecurity>
  <Lines>626</Lines>
  <Paragraphs>407</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Drafting Template</vt:lpstr>
      <vt:lpstr>    Part 1 — Preliminary </vt:lpstr>
      <vt:lpstr>    Part 2 — Special events exemptions </vt:lpstr>
      <vt:lpstr>    Part 3 — Miscellaneous </vt:lpstr>
      <vt:lpstr>    Notes</vt:lpstr>
    </vt:vector>
  </TitlesOfParts>
  <Manager/>
  <Company/>
  <LinksUpToDate>false</LinksUpToDate>
  <CharactersWithSpaces>23635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Professionals (Special Events Exemption) Act 2000 - 00-k0-03</dc:title>
  <dc:subject/>
  <dc:creator/>
  <cp:keywords/>
  <dc:description/>
  <cp:lastModifiedBy>svcMRProcess</cp:lastModifiedBy>
  <cp:revision>4</cp:revision>
  <cp:lastPrinted>2000-04-18T02:19:00Z</cp:lastPrinted>
  <dcterms:created xsi:type="dcterms:W3CDTF">2015-12-13T15:31:00Z</dcterms:created>
  <dcterms:modified xsi:type="dcterms:W3CDTF">2015-12-13T15:31:00Z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7 of 2000</vt:lpwstr>
  </property>
  <property fmtid="{D5CDD505-2E9C-101B-9397-08002B2CF9AE}" pid="3" name="CommencementDate">
    <vt:lpwstr>20070223</vt:lpwstr>
  </property>
  <property fmtid="{D5CDD505-2E9C-101B-9397-08002B2CF9AE}" pid="4" name="DocumentType">
    <vt:lpwstr>Act</vt:lpwstr>
  </property>
  <property fmtid="{D5CDD505-2E9C-101B-9397-08002B2CF9AE}" pid="5" name="OwlsUID">
    <vt:i4>1991</vt:i4>
  </property>
  <property fmtid="{D5CDD505-2E9C-101B-9397-08002B2CF9AE}" pid="6" name="AsAtDate">
    <vt:lpwstr>23 Feb 2007</vt:lpwstr>
  </property>
  <property fmtid="{D5CDD505-2E9C-101B-9397-08002B2CF9AE}" pid="7" name="Suffix">
    <vt:lpwstr>00-k0-03</vt:lpwstr>
  </property>
</Properties>
</file>