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Z</w:t>
      </w:r>
    </w:p>
    <w:p>
      <w:pPr>
        <w:pStyle w:val="IActName"/>
      </w:pPr>
      <w:r>
        <w:t>Zoological Parks Authority Act 2001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Zoological Parks Authority</w:t>
            </w:r>
          </w:p>
        </w:tc>
      </w:tr>
    </w:tbl>
    <w:p>
      <w:pPr>
        <w:keepNext/>
      </w:pPr>
    </w:p>
    <w:p>
      <w:pPr>
        <w:pStyle w:val="IRegName"/>
      </w:pPr>
      <w:r>
        <w:t>Zoological Parks Authority Regulations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Zoological Parks Authority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2002</w:t>
            </w:r>
            <w:r>
              <w:br/>
              <w:t>p. 2371‑402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22 May 2002 (see r. 2 and </w:t>
            </w:r>
            <w:r>
              <w:rPr>
                <w:i/>
              </w:rPr>
              <w:t>Gazette</w:t>
            </w:r>
            <w:r>
              <w:t xml:space="preserve"> 10 May 2002 p. 2445)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Zoological Parks Authority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Zoological Parks Authority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2020</w:t>
            </w:r>
            <w:r>
              <w:br/>
              <w:t>SL 2020/6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Feb 2020 (see r. 2(a));</w:t>
            </w:r>
          </w:p>
          <w:p>
            <w:pPr>
              <w:pStyle w:val="Table04Row"/>
            </w:pPr>
            <w:r>
              <w:t>Regulations other than r. 1 &amp; 2:  12 Feb 2020 (see r.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6C0E6-ABF9-4810-8FA2-EC3EB513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PCOWA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2024-04-24T01:39:00Z</dcterms:created>
  <dcterms:modified xsi:type="dcterms:W3CDTF">2024-04-24T01:39:00Z</dcterms:modified>
</cp:coreProperties>
</file>