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Caravan Parks and Camping Grounds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s. 1 &amp; 2: 29 Sep 1995;</w:t>
            </w:r>
          </w:p>
          <w:p>
            <w:pPr>
              <w:pStyle w:val="Table01Row"/>
            </w:pPr>
            <w:r>
              <w:rPr/>
              <w:t xml:space="preserve">Act other than s. 1, 2, 34(1) &amp; (2) and Sch. 2 it. 3: 1 Jul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1997 p. 2805);</w:t>
            </w:r>
          </w:p>
          <w:p>
            <w:pPr>
              <w:pStyle w:val="Table01Row"/>
            </w:pPr>
            <w:r>
              <w:rPr/>
              <w:t xml:space="preserve">s. 34(1) &amp; (2) and Sch. 2 it. 3 deleted by 2009/008 s. 26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Jul 2003 (not including 1995/034 s. 34(1), (2) &amp; Sch. 2 cl.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Jul 2006 (not including 1995/034 s. 34(1), (2) &amp; Sch. 2 cl.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15 Apr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2019/016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7 Nov 2020 (see s. 2(b) and SL 2020/212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Caravan Parks and Camping Grounds Act 1995</vt:lpwstr>
  </property>
  <property pid="3" name="IDAct" fmtid="{D5CDD505-2E9C-101B-9397-08002B2CF9AE}">
    <vt:lpwstr>103</vt:lpwstr>
  </property>
  <property pid="4" name="ChangedDate" fmtid="{D5CDD505-2E9C-101B-9397-08002B2CF9AE}">
    <vt:lpwstr>20260804155728</vt:lpwstr>
  </property>
</Properties>
</file>