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Choice of Law (Limitation Periods)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Choice of Law (Limitation Periods) Act 1994</w:t>
            </w:r>
          </w:p>
        </w:tc>
        <w:tc>
          <w:p>
            <w:pPr>
              <w:pStyle w:val="Table01Row"/>
            </w:pPr>
            <w:r>
              <w:t>1994/004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s. 1 &amp; 2: 11 Apr 1994;</w:t>
            </w:r>
          </w:p>
          <w:p>
            <w:pPr>
              <w:pStyle w:val="Table01Row"/>
            </w:pPr>
            <w:r>
              <w:rPr/>
              <w:t xml:space="preserve">Act other than s. 1 &amp; 2: 27 May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May 1994 p. 2205)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Nov 2002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Choice of Law (Limitation Periods) Act 1994</vt:lpwstr>
  </property>
  <property pid="3" name="IDAct" fmtid="{D5CDD505-2E9C-101B-9397-08002B2CF9AE}">
    <vt:lpwstr>126</vt:lpwstr>
  </property>
  <property pid="4" name="ChangedDate" fmtid="{D5CDD505-2E9C-101B-9397-08002B2CF9AE}">
    <vt:lpwstr>20250402124408</vt:lpwstr>
  </property>
</Properties>
</file>