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Collie‑Cardiff Railway Act 1951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Collie‑Cardiff Railway Act 1951</w:t>
            </w:r>
          </w:p>
        </w:tc>
        <w:tc>
          <w:p>
            <w:pPr>
              <w:pStyle w:val="Table01Row"/>
            </w:pPr>
            <w:r>
              <w:t>1951/037 (15 &amp; 16 Geo. VI No. 37)</w:t>
            </w:r>
          </w:p>
        </w:tc>
        <w:tc>
          <w:p>
            <w:pPr>
              <w:pStyle w:val="Table01Row"/>
            </w:pPr>
            <w:r>
              <w:t>20 Dec 1951</w:t>
            </w:r>
          </w:p>
        </w:tc>
        <w:tc>
          <w:p>
            <w:pPr>
              <w:pStyle w:val="Table01Row"/>
            </w:pPr>
            <w:r>
              <w:rPr/>
              <w:t xml:space="preserve">20 Dec 1951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19 Jan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Collie-Cardiff Railway Act 1951</vt:lpwstr>
  </property>
  <property pid="3" name="IDAct" fmtid="{D5CDD505-2E9C-101B-9397-08002B2CF9AE}">
    <vt:lpwstr>142</vt:lpwstr>
  </property>
  <property pid="4" name="ChangedDate" fmtid="{D5CDD505-2E9C-101B-9397-08002B2CF9AE}">
    <vt:lpwstr>20260804143231</vt:lpwstr>
  </property>
</Properties>
</file>