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Discontinuance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Discontinuance Act 2006</w:t>
            </w:r>
          </w:p>
        </w:tc>
        <w:tc>
          <w:p>
            <w:pPr>
              <w:pStyle w:val="Table01Row"/>
            </w:pPr>
            <w:r>
              <w:t>2006/002</w:t>
            </w:r>
          </w:p>
        </w:tc>
        <w:tc>
          <w:p>
            <w:pPr>
              <w:pStyle w:val="Table01Row"/>
            </w:pPr>
            <w:r>
              <w:t>30 Mar 2006</w:t>
            </w:r>
          </w:p>
        </w:tc>
        <w:tc>
          <w:p>
            <w:pPr>
              <w:pStyle w:val="Table01Row"/>
            </w:pPr>
            <w:r>
              <w:rPr/>
              <w:t xml:space="preserve">30 Mar 2006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Discontinuance Act 2006</vt:lpwstr>
  </property>
  <property pid="3" name="IDAct" fmtid="{D5CDD505-2E9C-101B-9397-08002B2CF9AE}">
    <vt:lpwstr>143204</vt:lpwstr>
  </property>
  <property pid="4" name="ChangedDate" fmtid="{D5CDD505-2E9C-101B-9397-08002B2CF9AE}">
    <vt:lpwstr>20260804143232</vt:lpwstr>
  </property>
</Properties>
</file>