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T</w:t>
      </w:r>
    </w:p>
    <w:p>
      <w:pPr>
        <w:pStyle w:val="IActName"/>
      </w:pPr>
      <w:r>
        <w:t>Tobacco and Other Products Control Act 2006</w:t>
      </w:r>
    </w:p>
    <w:p>
      <w:pPr>
        <w:pStyle w:val="Table01Note"/>
      </w:pPr>
      <w:r>
        <w:t xml:space="preserve">Formerly </w:t>
      </w:r>
      <w:r>
        <w:t>“</w:t>
      </w:r>
      <w:r>
        <w:rPr>
          <w:i/>
        </w:rPr>
        <w:t>Tobacco Products Control Act 2006</w:t>
      </w:r>
      <w:r>
        <w:t>”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Health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Health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Tobacco Products Control Act 2006</w:t>
            </w:r>
          </w:p>
        </w:tc>
        <w:tc>
          <w:p>
            <w:pPr>
              <w:pStyle w:val="Table01Row"/>
            </w:pPr>
            <w:r>
              <w:t>2006/005</w:t>
            </w:r>
          </w:p>
        </w:tc>
        <w:tc>
          <w:p>
            <w:pPr>
              <w:pStyle w:val="Table01Row"/>
            </w:pPr>
            <w:r>
              <w:t>12 Apr 2006</w:t>
            </w:r>
          </w:p>
        </w:tc>
        <w:tc>
          <w:p>
            <w:pPr>
              <w:pStyle w:val="Table01Row"/>
            </w:pPr>
            <w:r>
              <w:rPr/>
              <w:t xml:space="preserve">s. 1 &amp; 2: 12 Apr 2006;</w:t>
            </w:r>
          </w:p>
          <w:p>
            <w:pPr>
              <w:pStyle w:val="Table01Row"/>
            </w:pPr>
            <w:r>
              <w:rPr/>
              <w:t xml:space="preserve">Act other than s. 1‑2, 16‑25, 26(2), (3) &amp; (4), Pt. 4 and s. 103(2), 105 &amp; 113(3): 31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Jul 2006 p. 2701);</w:t>
            </w:r>
          </w:p>
          <w:p>
            <w:pPr>
              <w:pStyle w:val="Table01Row"/>
            </w:pPr>
            <w:r>
              <w:rPr/>
              <w:t xml:space="preserve">s. 19‑25, 26(2), (3) &amp; (4), Pt. 4 and s. 103(2), 105 &amp; 113(3): 28 Feb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28 Feb 2007 p. 677);</w:t>
            </w:r>
          </w:p>
          <w:p>
            <w:pPr>
              <w:pStyle w:val="Table01Row"/>
            </w:pPr>
            <w:r>
              <w:rPr/>
              <w:t xml:space="preserve">s. 16‑18: 31 May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28 Feb 2007 p. 677)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Liquor and Gaming Legislation Amendment Act 2006</w:t>
            </w:r>
            <w:r>
              <w:t xml:space="preserve"> </w:t>
              <w:t>s. 114</w:t>
            </w:r>
          </w:p>
        </w:tc>
        <w:tc>
          <w:p>
            <w:pPr>
              <w:pStyle w:val="Table01Row"/>
            </w:pPr>
            <w:r>
              <w:t>2006/073</w:t>
            </w:r>
          </w:p>
        </w:tc>
        <w:tc>
          <w:p>
            <w:pPr>
              <w:pStyle w:val="Table01Row"/>
            </w:pPr>
            <w:r>
              <w:t>13 Dec 2006</w:t>
            </w:r>
          </w:p>
        </w:tc>
        <w:tc>
          <w:p>
            <w:pPr>
              <w:pStyle w:val="Table01Row"/>
            </w:pPr>
            <w:r>
              <w:rPr/>
              <w:t xml:space="preserve">7 May 2007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 May 2007 p. 1893)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 &amp; Sch. 1 cl. 168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Police Amendment Act 2008</w:t>
            </w:r>
            <w:r>
              <w:t xml:space="preserve"> </w:t>
              <w:t>s. 21 &amp; 23(8)</w:t>
            </w:r>
          </w:p>
        </w:tc>
        <w:tc>
          <w:p>
            <w:pPr>
              <w:pStyle w:val="Table01Row"/>
            </w:pPr>
            <w:r>
              <w:t>2008/008</w:t>
            </w:r>
          </w:p>
        </w:tc>
        <w:tc>
          <w:p>
            <w:pPr>
              <w:pStyle w:val="Table01Row"/>
            </w:pPr>
            <w:r>
              <w:t>31 Mar 2008</w:t>
            </w:r>
          </w:p>
        </w:tc>
        <w:tc>
          <w:p>
            <w:pPr>
              <w:pStyle w:val="Table01Row"/>
            </w:pPr>
            <w:r>
              <w:rPr/>
              <w:t xml:space="preserve">s. 21: 1 Apr 2008 (see s. 2(1));</w:t>
            </w:r>
          </w:p>
          <w:p>
            <w:pPr>
              <w:pStyle w:val="Table01Row"/>
            </w:pPr>
            <w:r>
              <w:rPr/>
              <w:t xml:space="preserve">s. 23(8): 21 Jun 2008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20 Jun 2008 p. 2706)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5 Dec 2008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Tobacco Products Control Amendment Act 2009</w:t>
            </w:r>
          </w:p>
        </w:tc>
        <w:tc>
          <w:p>
            <w:pPr>
              <w:pStyle w:val="Table01Row"/>
            </w:pPr>
            <w:r>
              <w:t>2009/022</w:t>
            </w:r>
          </w:p>
        </w:tc>
        <w:tc>
          <w:p>
            <w:pPr>
              <w:pStyle w:val="Table01Row"/>
            </w:pPr>
            <w:r>
              <w:t>22 Sep 2009</w:t>
            </w:r>
          </w:p>
        </w:tc>
        <w:tc>
          <w:p>
            <w:pPr>
              <w:pStyle w:val="Table01Row"/>
            </w:pPr>
            <w:r>
              <w:rPr/>
              <w:t xml:space="preserve">s. 1 &amp; 2: 22 Sep 2009 (see s. 2(a));</w:t>
            </w:r>
          </w:p>
          <w:p>
            <w:pPr>
              <w:pStyle w:val="Table01Row"/>
            </w:pPr>
            <w:r>
              <w:rPr/>
              <w:t xml:space="preserve">Act other than s. 1 &amp; 2: 23 Sep 2010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2009</w:t>
            </w:r>
            <w:r>
              <w:t xml:space="preserve"> </w:t>
              <w:t>s. 17</w:t>
            </w:r>
          </w:p>
        </w:tc>
        <w:tc>
          <w:p>
            <w:pPr>
              <w:pStyle w:val="Table01Row"/>
            </w:pPr>
            <w:r>
              <w:t>2009/046</w:t>
            </w:r>
          </w:p>
        </w:tc>
        <w:tc>
          <w:p>
            <w:pPr>
              <w:pStyle w:val="Table01Row"/>
            </w:pPr>
            <w:r>
              <w:t>3 Dec 2009</w:t>
            </w:r>
          </w:p>
        </w:tc>
        <w:tc>
          <w:p>
            <w:pPr>
              <w:pStyle w:val="Table01Row"/>
            </w:pPr>
            <w:r>
              <w:rPr/>
              <w:t xml:space="preserve">4 Dec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8 Jul 2011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Medicines and Poisons Act 2014</w:t>
            </w:r>
            <w:r>
              <w:t xml:space="preserve"> </w:t>
              <w:t>s. 189</w:t>
            </w:r>
          </w:p>
        </w:tc>
        <w:tc>
          <w:p>
            <w:pPr>
              <w:pStyle w:val="Table01Row"/>
            </w:pPr>
            <w:r>
              <w:t>2014/013</w:t>
            </w:r>
          </w:p>
        </w:tc>
        <w:tc>
          <w:p>
            <w:pPr>
              <w:pStyle w:val="Table01Row"/>
            </w:pPr>
            <w:r>
              <w:t>2 Jul 2014</w:t>
            </w:r>
          </w:p>
        </w:tc>
        <w:tc>
          <w:p>
            <w:pPr>
              <w:pStyle w:val="Table01Row"/>
            </w:pPr>
            <w:r>
              <w:rPr/>
              <w:t xml:space="preserve">30 Jan 2017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17 Jan 2017 p. 403)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Western Australian Health Promotion Foundation Act 2016</w:t>
            </w:r>
            <w:r>
              <w:t xml:space="preserve"> </w:t>
              <w:t>Pt. 8 Div. 3</w:t>
            </w:r>
          </w:p>
        </w:tc>
        <w:tc>
          <w:p>
            <w:pPr>
              <w:pStyle w:val="Table01Row"/>
            </w:pPr>
            <w:r>
              <w:t>2016/003</w:t>
            </w:r>
          </w:p>
        </w:tc>
        <w:tc>
          <w:p>
            <w:pPr>
              <w:pStyle w:val="Table01Row"/>
            </w:pPr>
            <w:r>
              <w:t>21 Mar 2016</w:t>
            </w:r>
          </w:p>
        </w:tc>
        <w:tc>
          <w:p>
            <w:pPr>
              <w:pStyle w:val="Table01Row"/>
            </w:pPr>
            <w:r>
              <w:rPr/>
              <w:t xml:space="preserve">1 Sep 2016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26 Jul 2016 p. 3145)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Health (Consequential Provisions) Act 2016</w:t>
            </w:r>
            <w:r>
              <w:t xml:space="preserve"> </w:t>
              <w:t>Pt. 3 Div. 27</w:t>
            </w:r>
          </w:p>
        </w:tc>
        <w:tc>
          <w:p>
            <w:pPr>
              <w:pStyle w:val="Table01Row"/>
            </w:pPr>
            <w:r>
              <w:t>2016/019</w:t>
            </w:r>
          </w:p>
        </w:tc>
        <w:tc>
          <w:p>
            <w:pPr>
              <w:pStyle w:val="Table01Row"/>
            </w:pPr>
            <w:r>
              <w:t>25 Jul 2016</w:t>
            </w:r>
          </w:p>
        </w:tc>
        <w:tc>
          <w:p>
            <w:pPr>
              <w:pStyle w:val="Table01Row"/>
            </w:pPr>
            <w:r>
              <w:rPr/>
              <w:t xml:space="preserve">24 Jan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2017 p. 165)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Tobacco Products Control Amendment Act 2018</w:t>
            </w:r>
          </w:p>
        </w:tc>
        <w:tc>
          <w:p>
            <w:pPr>
              <w:pStyle w:val="Table01Row"/>
            </w:pPr>
            <w:r>
              <w:t>2018/021</w:t>
            </w:r>
          </w:p>
        </w:tc>
        <w:tc>
          <w:p>
            <w:pPr>
              <w:pStyle w:val="Table01Row"/>
            </w:pPr>
            <w:r>
              <w:t>18 Sep 2018</w:t>
            </w:r>
          </w:p>
        </w:tc>
        <w:tc>
          <w:p>
            <w:pPr>
              <w:pStyle w:val="Table01Row"/>
            </w:pPr>
            <w:r>
              <w:rPr/>
              <w:t xml:space="preserve">s. 1 &amp; 2: 18 Sep 2018 (see s. 2(a));</w:t>
            </w:r>
          </w:p>
          <w:p>
            <w:pPr>
              <w:pStyle w:val="Table01Row"/>
            </w:pPr>
            <w:r>
              <w:rPr/>
              <w:t xml:space="preserve">Act other than s. 1, 2 &amp; 4: 18 Mar 2019 (see s. 2(c));</w:t>
            </w:r>
          </w:p>
          <w:p>
            <w:pPr>
              <w:pStyle w:val="Table01Row"/>
            </w:pPr>
            <w:r>
              <w:rPr/>
              <w:t xml:space="preserve">s. 4: 18 Sep 2020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59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Evidence Act 2025</w:t>
            </w:r>
            <w:r>
              <w:t xml:space="preserve"> </w:t>
              <w:t>s. 492(1)</w:t>
            </w:r>
          </w:p>
        </w:tc>
        <w:tc>
          <w:p>
            <w:pPr>
              <w:pStyle w:val="Table01Row"/>
            </w:pPr>
            <w:r>
              <w:t>2025/015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2(e))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Tobacco Products Control Amendment Act 2026</w:t>
            </w:r>
            <w:r>
              <w:rPr>
                <w:color w:val="FF0000"/>
              </w:rP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2026/001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17 Mar 2026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13 May 2026 (see s. 2(b) and SL 2026/58 cl.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  <w:color w:val="FF0000"/>
              </w:rPr>
              <w:t>Editorial changes as at 14 May 2026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Tobacco and Other Products Control Act 2006</vt:lpwstr>
  </property>
  <property pid="3" name="IDAct" fmtid="{D5CDD505-2E9C-101B-9397-08002B2CF9AE}">
    <vt:lpwstr>143206</vt:lpwstr>
  </property>
  <property pid="4" name="ChangedDate" fmtid="{D5CDD505-2E9C-101B-9397-08002B2CF9AE}">
    <vt:lpwstr>20260517211438</vt:lpwstr>
  </property>
</Properties>
</file>