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S</w:t>
      </w:r>
    </w:p>
    <w:p>
      <w:pPr>
        <w:pStyle w:val="IActName"/>
      </w:pPr>
      <w:r>
        <w:t>Swan and Canning Rivers (Consequential and Transitional Provisions) Act 2006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the Environment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Biodiversity, Conservation and Attractions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Swan and Canning Rivers (Consequential and Transitional Provisions) Act 2006</w:t>
            </w:r>
          </w:p>
        </w:tc>
        <w:tc>
          <w:p>
            <w:pPr>
              <w:pStyle w:val="Table01Row"/>
            </w:pPr>
            <w:r>
              <w:t>2006/052</w:t>
            </w:r>
          </w:p>
        </w:tc>
        <w:tc>
          <w:p>
            <w:pPr>
              <w:pStyle w:val="Table01Row"/>
            </w:pPr>
            <w:r>
              <w:t>6 Oct 2006</w:t>
            </w:r>
          </w:p>
        </w:tc>
        <w:tc>
          <w:p>
            <w:pPr>
              <w:pStyle w:val="Table01Row"/>
            </w:pPr>
            <w:r>
              <w:rPr/>
              <w:t xml:space="preserve">s. 1 &amp; 2: 6 Oct 2006;</w:t>
            </w:r>
          </w:p>
          <w:p>
            <w:pPr>
              <w:pStyle w:val="Table01Row"/>
            </w:pPr>
            <w:r>
              <w:rPr/>
              <w:t xml:space="preserve">Act other than s. 1 &amp; 2: 25 Sep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Sep 2007 p. 4835)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Swan and Canning Rivers (Consequential and Transitional Provisions) Act 2006</vt:lpwstr>
  </property>
  <property pid="3" name="IDAct" fmtid="{D5CDD505-2E9C-101B-9397-08002B2CF9AE}">
    <vt:lpwstr>146582</vt:lpwstr>
  </property>
  <property pid="4" name="ChangedDate" fmtid="{D5CDD505-2E9C-101B-9397-08002B2CF9AE}">
    <vt:lpwstr>20250702192135</vt:lpwstr>
  </property>
</Properties>
</file>