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C</w:t>
      </w:r>
    </w:p>
    <w:p>
      <w:pPr>
        <w:pStyle w:val="IActName"/>
      </w:pPr>
      <w:r>
        <w:t>Criminal and Found Property Disposal Act 2006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Minister for Police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Police Service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Criminal and Found Property Disposal Act 2006</w:t>
            </w:r>
          </w:p>
        </w:tc>
        <w:tc>
          <w:p>
            <w:pPr>
              <w:pStyle w:val="Table01Row"/>
            </w:pPr>
            <w:r>
              <w:t>2006/057</w:t>
            </w:r>
          </w:p>
        </w:tc>
        <w:tc>
          <w:p>
            <w:pPr>
              <w:pStyle w:val="Table01Row"/>
            </w:pPr>
            <w:r>
              <w:t>16 Nov 2006</w:t>
            </w:r>
          </w:p>
        </w:tc>
        <w:tc>
          <w:p>
            <w:pPr>
              <w:pStyle w:val="Table01Row"/>
            </w:pPr>
            <w:r>
              <w:rPr/>
              <w:t xml:space="preserve">s. 1 &amp; 2: 16 Nov 2006;</w:t>
            </w:r>
          </w:p>
          <w:p>
            <w:pPr>
              <w:pStyle w:val="Table01Row"/>
            </w:pPr>
            <w:r>
              <w:rPr/>
              <w:t xml:space="preserve">Act other than s. 1 &amp; 2: 1 Jul 2007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22 Jun 2007 p. 2838)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Statutes (Repeals and Minor Amendments) Act 2009</w:t>
            </w:r>
            <w:r>
              <w:t xml:space="preserve"> </w:t>
              <w:t>s. 17</w:t>
            </w:r>
          </w:p>
        </w:tc>
        <w:tc>
          <w:p>
            <w:pPr>
              <w:pStyle w:val="Table01Row"/>
            </w:pPr>
            <w:r>
              <w:t>2009/046</w:t>
            </w:r>
          </w:p>
        </w:tc>
        <w:tc>
          <w:p>
            <w:pPr>
              <w:pStyle w:val="Table01Row"/>
            </w:pPr>
            <w:r>
              <w:t>3 Dec 2009</w:t>
            </w:r>
          </w:p>
        </w:tc>
        <w:tc>
          <w:p>
            <w:pPr>
              <w:pStyle w:val="Table01Row"/>
            </w:pPr>
            <w:r>
              <w:rPr/>
              <w:t xml:space="preserve">4 Dec 2009 (see s. 2(b))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Courts and Tribunals (Electronic Processes Facilitation) Act 2013</w:t>
            </w:r>
            <w:r>
              <w:t xml:space="preserve"> </w:t>
              <w:t>Pt. 3 Div. 4 (s. 36‑39)</w:t>
            </w:r>
          </w:p>
        </w:tc>
        <w:tc>
          <w:p>
            <w:pPr>
              <w:pStyle w:val="Table01Row"/>
            </w:pPr>
            <w:r>
              <w:t>2013/020</w:t>
            </w:r>
          </w:p>
        </w:tc>
        <w:tc>
          <w:p>
            <w:pPr>
              <w:pStyle w:val="Table01Row"/>
            </w:pPr>
            <w:r>
              <w:t>4 Nov 2013</w:t>
            </w:r>
          </w:p>
        </w:tc>
        <w:tc>
          <w:p>
            <w:pPr>
              <w:pStyle w:val="Table01Row"/>
            </w:pPr>
            <w:r>
              <w:rPr/>
              <w:t xml:space="preserve">Pt. 3 Div. 4 other than s. 37‑39: 25 Nov 2013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22 Nov 2013 p. 5391);</w:t>
            </w:r>
          </w:p>
          <w:p>
            <w:pPr>
              <w:pStyle w:val="Table01Row"/>
            </w:pPr>
            <w:r>
              <w:rPr/>
              <w:t xml:space="preserve">s. 37‑39: to be proclaimed (see s. 2(b))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Criminal and Found Property Disposal Act 2006</vt:lpwstr>
  </property>
  <property pid="3" name="IDAct" fmtid="{D5CDD505-2E9C-101B-9397-08002B2CF9AE}">
    <vt:lpwstr>146587</vt:lpwstr>
  </property>
  <property pid="4" name="ChangedDate" fmtid="{D5CDD505-2E9C-101B-9397-08002B2CF9AE}">
    <vt:lpwstr>20250404102611</vt:lpwstr>
  </property>
</Properties>
</file>