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Employment Dispute Resolution Act 2008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Industrial Relations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Employment Dispute Resolution Act 2008</w:t>
            </w:r>
          </w:p>
        </w:tc>
        <w:tc>
          <w:p>
            <w:pPr>
              <w:pStyle w:val="Table01Row"/>
            </w:pPr>
            <w:r>
              <w:t>2008/018</w:t>
            </w:r>
          </w:p>
        </w:tc>
        <w:tc>
          <w:p>
            <w:pPr>
              <w:pStyle w:val="Table01Row"/>
            </w:pPr>
            <w:r>
              <w:t>19 May 2008</w:t>
            </w:r>
          </w:p>
        </w:tc>
        <w:tc>
          <w:p>
            <w:pPr>
              <w:pStyle w:val="Table01Row"/>
            </w:pPr>
            <w:r>
              <w:rPr/>
              <w:t xml:space="preserve">s. 1 &amp; 2: 19 May 2008 (see s. 2(a));</w:t>
            </w:r>
          </w:p>
          <w:p>
            <w:pPr>
              <w:pStyle w:val="Table01Row"/>
            </w:pPr>
            <w:r>
              <w:rPr/>
              <w:t xml:space="preserve">Act other than s. 1 &amp; 2: 1 Dec 2008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28 Nov 2008 p. 5029)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Legislation Amendment Act 2011</w:t>
            </w:r>
            <w:r>
              <w:t xml:space="preserve"> </w:t>
              <w:t>Pt. 5</w:t>
            </w:r>
          </w:p>
        </w:tc>
        <w:tc>
          <w:p>
            <w:pPr>
              <w:pStyle w:val="Table01Row"/>
            </w:pPr>
            <w:r>
              <w:t>2011/053</w:t>
            </w:r>
          </w:p>
        </w:tc>
        <w:tc>
          <w:p>
            <w:pPr>
              <w:pStyle w:val="Table01Row"/>
            </w:pPr>
            <w:r>
              <w:t>11 Nov 2011</w:t>
            </w:r>
          </w:p>
        </w:tc>
        <w:tc>
          <w:p>
            <w:pPr>
              <w:pStyle w:val="Table01Row"/>
            </w:pPr>
            <w:r>
              <w:rPr/>
              <w:t xml:space="preserve">1 Apr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16 Mar 2012 p. 1246)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Employment Dispute Resolution Act 2008</vt:lpwstr>
  </property>
  <property pid="3" name="IDAct" fmtid="{D5CDD505-2E9C-101B-9397-08002B2CF9AE}">
    <vt:lpwstr>146664</vt:lpwstr>
  </property>
  <property pid="4" name="ChangedDate" fmtid="{D5CDD505-2E9C-101B-9397-08002B2CF9AE}">
    <vt:lpwstr>20250404101037</vt:lpwstr>
  </property>
</Properties>
</file>