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Nickel Refinery (BHP Billiton Nickel West Pty Ltd) (Termination of Agreements) Agreement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Nickel Refinery (BHP Billiton Nickel West Pty Ltd) (Termination of Agreements) Agreement Act 2008</w:t>
            </w:r>
          </w:p>
        </w:tc>
        <w:tc>
          <w:p>
            <w:pPr>
              <w:pStyle w:val="Table01Row"/>
            </w:pPr>
            <w:r>
              <w:t>2008/036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s. 1 &amp; 2: 27 Jun 2008 (see s. 2(a));</w:t>
            </w:r>
          </w:p>
          <w:p>
            <w:pPr>
              <w:pStyle w:val="Table01Row"/>
            </w:pPr>
            <w:r>
              <w:rPr/>
              <w:t xml:space="preserve">Act other than s. 1 &amp; 2: 28 Jun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Agreements Legislation Repeal Act 2013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2013/001</w:t>
            </w:r>
          </w:p>
        </w:tc>
        <w:tc>
          <w:p>
            <w:pPr>
              <w:pStyle w:val="Table01Row"/>
            </w:pPr>
            <w:r>
              <w:t>20 Jun 2013</w:t>
            </w:r>
          </w:p>
        </w:tc>
        <w:tc>
          <w:p>
            <w:pPr>
              <w:pStyle w:val="Table01Row"/>
            </w:pPr>
            <w:r>
              <w:rPr/>
              <w:t xml:space="preserve">28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2013 p. 4051)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Nickel Refinery (BHP Billiton Nickel West Pty Ltd) (Termination of Agreements) Agreement Act 2008</vt:lpwstr>
  </property>
  <property pid="3" name="IDAct" fmtid="{D5CDD505-2E9C-101B-9397-08002B2CF9AE}">
    <vt:lpwstr>146676</vt:lpwstr>
  </property>
  <property pid="4" name="ChangedDate" fmtid="{D5CDD505-2E9C-101B-9397-08002B2CF9AE}">
    <vt:lpwstr>20260804144845</vt:lpwstr>
  </property>
</Properties>
</file>