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Surrogacy Act 2008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Surrogacy Act 2008</w:t>
            </w:r>
          </w:p>
        </w:tc>
        <w:tc>
          <w:p>
            <w:pPr>
              <w:pStyle w:val="Table01Row"/>
            </w:pPr>
            <w:r>
              <w:t>2008/047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s. 1 &amp; 2: 10 Dec 2008 (see s. 2(a));</w:t>
            </w:r>
          </w:p>
          <w:p>
            <w:pPr>
              <w:pStyle w:val="Table01Row"/>
            </w:pPr>
            <w:r>
              <w:rPr/>
              <w:t xml:space="preserve">Act other than s. 1 &amp; 2: 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Court Amendment (Commonwealth Reforms) Act 2024</w:t>
            </w:r>
            <w:r>
              <w:t xml:space="preserve"> </w:t>
              <w:t>s. 84</w:t>
            </w:r>
          </w:p>
        </w:tc>
        <w:tc>
          <w:p>
            <w:pPr>
              <w:pStyle w:val="Table01Row"/>
            </w:pPr>
            <w:r>
              <w:t>2024/049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10 Feb 2025 (see s. 2(b) and SL 2025/10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s. 279(1)(b)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Repealing Act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2025/019 s. 279(1)(b), Assisted Reproductive Technology and Surrogacy Act 2025 (to be proclaimed)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Surrogacy Act 2008</vt:lpwstr>
  </property>
  <property pid="3" name="IDAct" fmtid="{D5CDD505-2E9C-101B-9397-08002B2CF9AE}">
    <vt:lpwstr>146696</vt:lpwstr>
  </property>
  <property pid="4" name="ChangedDate" fmtid="{D5CDD505-2E9C-101B-9397-08002B2CF9AE}">
    <vt:lpwstr>20250514162300</vt:lpwstr>
  </property>
</Properties>
</file>