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Transfer of Incorporation (HBF and HIF) Act 2009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Incorporation (HBF and HIF) Act 2009</w:t>
            </w:r>
          </w:p>
        </w:tc>
        <w:tc>
          <w:p>
            <w:pPr>
              <w:pStyle w:val="Table01Row"/>
            </w:pPr>
            <w:r>
              <w:t>2009/011</w:t>
            </w:r>
          </w:p>
        </w:tc>
        <w:tc>
          <w:p>
            <w:pPr>
              <w:pStyle w:val="Table01Row"/>
            </w:pPr>
            <w:r>
              <w:t>29 Jun 2009</w:t>
            </w:r>
          </w:p>
        </w:tc>
        <w:tc>
          <w:p>
            <w:pPr>
              <w:pStyle w:val="Table01Row"/>
            </w:pPr>
            <w:r>
              <w:rPr/>
              <w:t xml:space="preserve">29 Jun 2009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Transfer of Incorporation (HBF and HIF) Act 2009</vt:lpwstr>
  </property>
  <property pid="3" name="IDAct" fmtid="{D5CDD505-2E9C-101B-9397-08002B2CF9AE}">
    <vt:lpwstr>146709</vt:lpwstr>
  </property>
  <property pid="4" name="ChangedDate" fmtid="{D5CDD505-2E9C-101B-9397-08002B2CF9AE}">
    <vt:lpwstr>20250404114309</vt:lpwstr>
  </property>
</Properties>
</file>