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N</w:t>
      </w:r>
    </w:p>
    <w:p>
      <w:pPr>
        <w:pStyle w:val="IActName"/>
      </w:pPr>
      <w:r>
        <w:t>National Gas Access (WA) Act 2009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Energy and Decarbonisation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Energy and Economic Diversification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National Gas Access (WA) Act 2009</w:t>
            </w:r>
          </w:p>
        </w:tc>
        <w:tc>
          <w:p>
            <w:pPr>
              <w:pStyle w:val="Table01Row"/>
            </w:pPr>
            <w:r>
              <w:t>2009/016</w:t>
            </w:r>
          </w:p>
        </w:tc>
        <w:tc>
          <w:p>
            <w:pPr>
              <w:pStyle w:val="Table01Row"/>
            </w:pPr>
            <w:r>
              <w:t>1 Sep 2009</w:t>
            </w:r>
          </w:p>
        </w:tc>
        <w:tc>
          <w:p>
            <w:pPr>
              <w:pStyle w:val="Table01Row"/>
            </w:pPr>
            <w:r>
              <w:rPr/>
              <w:t xml:space="preserve">s. 1 &amp; 2: 1 Sep 2009 (see s. 2(a));</w:t>
            </w:r>
          </w:p>
          <w:p>
            <w:pPr>
              <w:pStyle w:val="Table01Row"/>
            </w:pPr>
            <w:r>
              <w:rPr/>
              <w:t xml:space="preserve">Act other than s. 1 &amp; 2: 1 Jan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2009 p. 5327)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Petroleum and Energy Legislation Amendment Act 2010</w:t>
            </w:r>
            <w:r>
              <w:t xml:space="preserve"> </w:t>
              <w:t>s. 184</w:t>
            </w:r>
          </w:p>
        </w:tc>
        <w:tc>
          <w:p>
            <w:pPr>
              <w:pStyle w:val="Table01Row"/>
            </w:pPr>
            <w:r>
              <w:t>2010/042</w:t>
            </w:r>
          </w:p>
        </w:tc>
        <w:tc>
          <w:p>
            <w:pPr>
              <w:pStyle w:val="Table01Row"/>
            </w:pPr>
            <w:r>
              <w:t>28 Oct 2010</w:t>
            </w:r>
          </w:p>
        </w:tc>
        <w:tc>
          <w:p>
            <w:pPr>
              <w:pStyle w:val="Table01Row"/>
            </w:pPr>
            <w:r>
              <w:rPr/>
              <w:t xml:space="preserve">25 May 2011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24 May 2011 p. 1892)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National Gas Access (WA) (Act Amendment) Regulations 2017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22 Dec 2017 p. 5985‑6</w:t>
            </w:r>
          </w:p>
        </w:tc>
        <w:tc>
          <w:p>
            <w:pPr>
              <w:pStyle w:val="Table01Row"/>
            </w:pPr>
            <w:r>
              <w:rPr/>
              <w:t xml:space="preserve">23 Dec 2017 (see r.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22 Dec 2017 p. 5984)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National Gas Access (WA) (Act Amendment) Regulations 2019</w:t>
            </w:r>
            <w:r>
              <w:rPr/>
              <w:t xml:space="preserve">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5 Apr 2019 p. 1009‑10</w:t>
            </w:r>
          </w:p>
        </w:tc>
        <w:tc>
          <w:p>
            <w:pPr>
              <w:pStyle w:val="Table01Row"/>
            </w:pPr>
            <w:r>
              <w:rPr/>
              <w:t xml:space="preserve">6 Apr 2019 (see r. 2(b) and </w:t>
            </w:r>
            <w:r>
              <w:rPr>
                <w:i/>
              </w:rPr>
              <w:t xml:space="preserve">Gazette</w:t>
            </w:r>
            <w:r>
              <w:rPr/>
              <w:t xml:space="preserve"> 5 Apr 2019 p. 1007)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National Gas Access (WA) (Act Amendment) Regulations 2020</w:t>
            </w:r>
            <w:r>
              <w:rPr/>
              <w:t xml:space="preserve"> (SL 2020/194)</w:t>
            </w:r>
          </w:p>
        </w:tc>
        <w:tc>
          <w:p>
            <w:pPr>
              <w:pStyle w:val="Table01Row"/>
            </w:pPr>
            <w:r>
              <w:rPr/>
              <w:t xml:space="preserve">r. 1 &amp; 2: 9 Oct 2020 (see r. 2(a));</w:t>
            </w:r>
          </w:p>
          <w:p>
            <w:pPr>
              <w:pStyle w:val="Table01Row"/>
            </w:pPr>
            <w:r>
              <w:rPr/>
              <w:t xml:space="preserve">Regulations other than r. 1 &amp; 2: 10 Oct 2020 (see r. 2(b) and SL 2020/195 cl. 2(b))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National Gas Access (WA) (Act Amendment) Regulations (No. 2) 2024</w:t>
            </w:r>
            <w:r>
              <w:rPr/>
              <w:t xml:space="preserve"> (SL 2024/5)</w:t>
            </w:r>
          </w:p>
        </w:tc>
        <w:tc>
          <w:p>
            <w:pPr>
              <w:pStyle w:val="Table01Row"/>
            </w:pPr>
            <w:r>
              <w:rPr/>
              <w:t xml:space="preserve">r. 1 &amp; 2: 24 Jan 2024 (see r. 2(a));</w:t>
            </w:r>
          </w:p>
          <w:p>
            <w:pPr>
              <w:pStyle w:val="Table01Row"/>
            </w:pPr>
            <w:r>
              <w:rPr/>
              <w:t xml:space="preserve">Regulations other than r. 1 &amp; 2: 25 Jan 2024 (see r.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24 Jan 2024 p. 91‑2)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National Gas Access (WA) (Act Amendment) Regulations 2024</w:t>
            </w:r>
            <w:r>
              <w:rPr/>
              <w:t xml:space="preserve"> (SL 2024/186)</w:t>
            </w:r>
          </w:p>
        </w:tc>
        <w:tc>
          <w:p>
            <w:pPr>
              <w:pStyle w:val="Table01Row"/>
            </w:pPr>
            <w:r>
              <w:rPr/>
              <w:t xml:space="preserve">r. 1 &amp; 2: 4 Sep 2024 (see r. 2(a));</w:t>
            </w:r>
          </w:p>
          <w:p>
            <w:pPr>
              <w:pStyle w:val="Table01Row"/>
            </w:pPr>
            <w:r>
              <w:rPr/>
              <w:t xml:space="preserve">Regulations other than r. 1 &amp; 2: 5 Sep 2024 (see r. 2(b) and </w:t>
            </w:r>
            <w:r>
              <w:rPr>
                <w:i/>
              </w:rPr>
              <w:t xml:space="preserve">Gazette</w:t>
            </w:r>
            <w:r>
              <w:rPr/>
              <w:t xml:space="preserve"> 4 Sep 2024 p. 2215)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pStyle w:val="Table01Row"/>
            </w:pPr>
            <w:r>
              <w:rPr>
                <w:i/>
              </w:rPr>
              <w:t>National Gas Access (WA) (Act Amendment) Regulations 2025</w:t>
            </w:r>
            <w:r>
              <w:rPr/>
              <w:t xml:space="preserve"> (SL 2025/19)</w:t>
            </w:r>
          </w:p>
        </w:tc>
        <w:tc>
          <w:p>
            <w:pPr>
              <w:pStyle w:val="Table01Row"/>
            </w:pPr>
            <w:r>
              <w:rPr/>
              <w:t xml:space="preserve">r. 1 &amp; 2: 22 Jan 2025 (see r. 2(a));</w:t>
            </w:r>
          </w:p>
          <w:p>
            <w:pPr>
              <w:pStyle w:val="Table01Row"/>
            </w:pPr>
            <w:r>
              <w:rPr/>
              <w:t xml:space="preserve">Regulations other than r. 1 &amp; 2: 23 Jan 2025 (see r.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22 Jan 2025 p. 63‑4)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National Gas Access (WA) Act 2009</vt:lpwstr>
  </property>
  <property pid="3" name="IDAct" fmtid="{D5CDD505-2E9C-101B-9397-08002B2CF9AE}">
    <vt:lpwstr>146714</vt:lpwstr>
  </property>
  <property pid="4" name="ChangedDate" fmtid="{D5CDD505-2E9C-101B-9397-08002B2CF9AE}">
    <vt:lpwstr>20250702003723</vt:lpwstr>
  </property>
</Properties>
</file>