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M</w:t>
      </w:r>
    </w:p>
    <w:p>
      <w:pPr>
        <w:pStyle w:val="IActName"/>
      </w:pPr>
      <w:r>
        <w:t>Major Events (Aerial Advertising) Act 2009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Sport and Recreation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Creative Industries, Tourism and Sport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Major Events (Aerial Advertising) Act 2009</w:t>
            </w:r>
          </w:p>
        </w:tc>
        <w:tc>
          <w:p>
            <w:pPr>
              <w:pStyle w:val="Table01Row"/>
            </w:pPr>
            <w:r>
              <w:t>2009/020</w:t>
            </w:r>
          </w:p>
        </w:tc>
        <w:tc>
          <w:p>
            <w:pPr>
              <w:pStyle w:val="Table01Row"/>
            </w:pPr>
            <w:r>
              <w:t>21 Sep 2009</w:t>
            </w:r>
          </w:p>
        </w:tc>
        <w:tc>
          <w:p>
            <w:pPr>
              <w:pStyle w:val="Table01Row"/>
            </w:pPr>
            <w:r>
              <w:rPr/>
              <w:t xml:space="preserve">s. 1 &amp; 2: 21 Sep 2009 (see s. 2(a));</w:t>
            </w:r>
          </w:p>
          <w:p>
            <w:pPr>
              <w:pStyle w:val="Table01Row"/>
            </w:pPr>
            <w:r>
              <w:rPr/>
              <w:t xml:space="preserve">Act other than s. 1 &amp; 2: 18 Jan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15 Jan 2010 p. 67)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Directors’ Liability Reform Act 2023</w:t>
            </w:r>
            <w:r>
              <w:t xml:space="preserve"> </w:t>
              <w:t>Pt. 3 Div. 38</w:t>
            </w:r>
          </w:p>
        </w:tc>
        <w:tc>
          <w:p>
            <w:pPr>
              <w:pStyle w:val="Table01Row"/>
            </w:pPr>
            <w:r>
              <w:t>2023/009</w:t>
            </w:r>
          </w:p>
        </w:tc>
        <w:tc>
          <w:p>
            <w:pPr>
              <w:pStyle w:val="Table01Row"/>
            </w:pPr>
            <w:r>
              <w:t>4 Apr 2023</w:t>
            </w:r>
          </w:p>
        </w:tc>
        <w:tc>
          <w:p>
            <w:pPr>
              <w:pStyle w:val="Table01Row"/>
            </w:pPr>
            <w:r>
              <w:rPr/>
              <w:t xml:space="preserve">5 Apr 2023 (see s. 2(j))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Major Events Act 2023</w:t>
            </w:r>
            <w:r>
              <w:t xml:space="preserve"> </w:t>
              <w:t>s. 111</w:t>
            </w:r>
          </w:p>
        </w:tc>
        <w:tc>
          <w:p>
            <w:pPr>
              <w:pStyle w:val="Table01Row"/>
            </w:pPr>
            <w:r>
              <w:t>2023/012</w:t>
            </w:r>
          </w:p>
        </w:tc>
        <w:tc>
          <w:p>
            <w:pPr>
              <w:pStyle w:val="Table01Row"/>
            </w:pPr>
            <w:r>
              <w:t>22 May 2023</w:t>
            </w:r>
          </w:p>
        </w:tc>
        <w:tc>
          <w:p>
            <w:pPr>
              <w:pStyle w:val="Table01Row"/>
            </w:pPr>
            <w:r>
              <w:rPr/>
              <w:t xml:space="preserve">23 May 2023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Major Events (Aerial Advertising) Act 2009</vt:lpwstr>
  </property>
  <property pid="3" name="IDAct" fmtid="{D5CDD505-2E9C-101B-9397-08002B2CF9AE}">
    <vt:lpwstr>146719</vt:lpwstr>
  </property>
  <property pid="4" name="ChangedDate" fmtid="{D5CDD505-2E9C-101B-9397-08002B2CF9AE}">
    <vt:lpwstr>20260804143309</vt:lpwstr>
  </property>
</Properties>
</file>