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Pay‑roll Tax Rebate Act 2010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Finance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Pay‑roll Tax Rebate Act 2010</w:t>
            </w:r>
          </w:p>
        </w:tc>
        <w:tc>
          <w:p>
            <w:pPr>
              <w:pStyle w:val="Table01Row"/>
            </w:pPr>
            <w:r>
              <w:t>2010/005</w:t>
            </w:r>
          </w:p>
        </w:tc>
        <w:tc>
          <w:p>
            <w:pPr>
              <w:pStyle w:val="Table01Row"/>
            </w:pPr>
            <w:r>
              <w:t>14 May 2010</w:t>
            </w:r>
          </w:p>
        </w:tc>
        <w:tc>
          <w:p>
            <w:pPr>
              <w:pStyle w:val="Table01Row"/>
            </w:pPr>
            <w:r>
              <w:rPr/>
              <w:t xml:space="preserve">s. 1 &amp; 2: 14 May 2010 (see s. 2(a));</w:t>
            </w:r>
          </w:p>
          <w:p>
            <w:pPr>
              <w:pStyle w:val="Table01Row"/>
            </w:pPr>
            <w:r>
              <w:rPr/>
              <w:t xml:space="preserve">Act other than s. 1 &amp; 2: 15 May 2010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Pay-roll Tax Rebate Act 2010</vt:lpwstr>
  </property>
  <property pid="3" name="IDAct" fmtid="{D5CDD505-2E9C-101B-9397-08002B2CF9AE}">
    <vt:lpwstr>146751</vt:lpwstr>
  </property>
  <property pid="4" name="ChangedDate" fmtid="{D5CDD505-2E9C-101B-9397-08002B2CF9AE}">
    <vt:lpwstr>20250701184258</vt:lpwstr>
  </property>
</Properties>
</file>