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P</w:t>
      </w:r>
    </w:p>
    <w:p>
      <w:pPr>
        <w:pStyle w:val="IActName"/>
      </w:pPr>
      <w:r>
        <w:t>Pharmacy Act 2010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Health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Health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Pharmacy Act 2010</w:t>
            </w:r>
          </w:p>
        </w:tc>
        <w:tc>
          <w:p>
            <w:pPr>
              <w:pStyle w:val="Table01Row"/>
            </w:pPr>
            <w:r>
              <w:t>2010/032</w:t>
            </w:r>
          </w:p>
        </w:tc>
        <w:tc>
          <w:p>
            <w:pPr>
              <w:pStyle w:val="Table01Row"/>
            </w:pPr>
            <w:r>
              <w:t>26 Aug 2010</w:t>
            </w:r>
          </w:p>
        </w:tc>
        <w:tc>
          <w:p>
            <w:pPr>
              <w:pStyle w:val="Table01Row"/>
            </w:pPr>
            <w:r>
              <w:rPr/>
              <w:t xml:space="preserve">s. 1 &amp; 2: 26 Aug 2010 (see s. 2(a));</w:t>
            </w:r>
          </w:p>
          <w:p>
            <w:pPr>
              <w:pStyle w:val="Table01Row"/>
            </w:pPr>
            <w:r>
              <w:rPr/>
              <w:t xml:space="preserve">Act other than s. 1 &amp; 2: 18 Oct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 Oct 2010 p. 5076)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Medicines and Poisons Act 2014</w:t>
            </w:r>
            <w:r>
              <w:t xml:space="preserve"> </w:t>
              <w:t>s. 186</w:t>
            </w:r>
          </w:p>
        </w:tc>
        <w:tc>
          <w:p>
            <w:pPr>
              <w:pStyle w:val="Table01Row"/>
            </w:pPr>
            <w:r>
              <w:t>2014/013</w:t>
            </w:r>
          </w:p>
        </w:tc>
        <w:tc>
          <w:p>
            <w:pPr>
              <w:pStyle w:val="Table01Row"/>
            </w:pPr>
            <w:r>
              <w:t>2 Jul 2014</w:t>
            </w:r>
          </w:p>
        </w:tc>
        <w:tc>
          <w:p>
            <w:pPr>
              <w:pStyle w:val="Table01Row"/>
            </w:pPr>
            <w:r>
              <w:rPr/>
              <w:t xml:space="preserve">30 Jan 2017 (see s. 2(b) &amp; </w:t>
            </w:r>
            <w:r>
              <w:rPr>
                <w:i/>
              </w:rPr>
              <w:t xml:space="preserve">Gazette</w:t>
            </w:r>
            <w:r>
              <w:rPr/>
              <w:t xml:space="preserve"> 17 Jan 2017 p. 403)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Associations Incorporation Act 2015</w:t>
            </w:r>
            <w:r>
              <w:t xml:space="preserve"> </w:t>
              <w:t>s. 225</w:t>
            </w:r>
          </w:p>
        </w:tc>
        <w:tc>
          <w:p>
            <w:pPr>
              <w:pStyle w:val="Table01Row"/>
            </w:pPr>
            <w:r>
              <w:t>2015/030</w:t>
            </w:r>
          </w:p>
        </w:tc>
        <w:tc>
          <w:p>
            <w:pPr>
              <w:pStyle w:val="Table01Row"/>
            </w:pPr>
            <w:r>
              <w:t>2 Nov 2015</w:t>
            </w:r>
          </w:p>
        </w:tc>
        <w:tc>
          <w:p>
            <w:pPr>
              <w:pStyle w:val="Table01Row"/>
            </w:pPr>
            <w:r>
              <w:rPr/>
              <w:t xml:space="preserve">1 Jul 2016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24 Jun 2016 p. 2291‑2)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Health Services Act 2016</w:t>
            </w:r>
            <w:r>
              <w:t xml:space="preserve"> </w:t>
              <w:t>s. 299</w:t>
            </w:r>
          </w:p>
        </w:tc>
        <w:tc>
          <w:p>
            <w:pPr>
              <w:pStyle w:val="Table01Row"/>
            </w:pPr>
            <w:r>
              <w:t>2016/011</w:t>
            </w:r>
          </w:p>
        </w:tc>
        <w:tc>
          <w:p>
            <w:pPr>
              <w:pStyle w:val="Table01Row"/>
            </w:pPr>
            <w:r>
              <w:t>26 May 2016</w:t>
            </w:r>
          </w:p>
        </w:tc>
        <w:tc>
          <w:p>
            <w:pPr>
              <w:pStyle w:val="Table01Row"/>
            </w:pPr>
            <w:r>
              <w:rPr/>
              <w:t xml:space="preserve">1 Jul 2016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24 Jun 2016 p. 2291)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22 Sep 2017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47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2025</w:t>
            </w:r>
            <w:r>
              <w:t xml:space="preserve"> </w:t>
              <w:t>s. 7</w:t>
            </w:r>
          </w:p>
        </w:tc>
        <w:tc>
          <w:p>
            <w:pPr>
              <w:pStyle w:val="Table01Row"/>
            </w:pPr>
            <w:r>
              <w:t>2025/014</w:t>
            </w:r>
          </w:p>
        </w:tc>
        <w:tc>
          <w:p>
            <w:pPr>
              <w:pStyle w:val="Table01Row"/>
            </w:pPr>
            <w:r>
              <w:t>25 Sep 2025</w:t>
            </w:r>
          </w:p>
        </w:tc>
        <w:tc>
          <w:p>
            <w:pPr>
              <w:pStyle w:val="Table01Row"/>
            </w:pPr>
            <w:r>
              <w:rPr/>
              <w:t xml:space="preserve">26 Sep 2025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Pharmacy Act 2010</vt:lpwstr>
  </property>
  <property pid="3" name="IDAct" fmtid="{D5CDD505-2E9C-101B-9397-08002B2CF9AE}">
    <vt:lpwstr>146779</vt:lpwstr>
  </property>
  <property pid="4" name="ChangedDate" fmtid="{D5CDD505-2E9C-101B-9397-08002B2CF9AE}">
    <vt:lpwstr>20250514161527</vt:lpwstr>
  </property>
</Properties>
</file>