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Jul 2011 (see s. 2(a));</w:t>
            </w:r>
          </w:p>
          <w:p>
            <w:pPr>
              <w:pStyle w:val="Table01Row"/>
            </w:pPr>
            <w:r>
              <w:rPr/>
              <w:t xml:space="preserve">s. 3: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3476);</w:t>
            </w:r>
          </w:p>
          <w:p>
            <w:pPr>
              <w:pStyle w:val="Table01Row"/>
            </w:pPr>
            <w:r>
              <w:rPr/>
              <w:t xml:space="preserve">Act other than s. 1‑3: 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Amendment Act 2012</w:t>
            </w:r>
          </w:p>
        </w:tc>
        <w:tc>
          <w:p>
            <w:pPr>
              <w:pStyle w:val="Table01Row"/>
            </w:pPr>
            <w:r>
              <w:t>2012/037</w:t>
            </w:r>
          </w:p>
        </w:tc>
        <w:tc>
          <w:p>
            <w:pPr>
              <w:pStyle w:val="Table01Row"/>
            </w:pPr>
            <w:r>
              <w:t>5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 &amp; Pt. 3 &amp; 4: 6 Nov 2012 (see s. 2(c));</w:t>
            </w:r>
          </w:p>
          <w:p>
            <w:pPr>
              <w:pStyle w:val="Table01Row"/>
            </w:pPr>
            <w:r>
              <w:rPr/>
              <w:t xml:space="preserve">Pt. 3 &amp; 4: 19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2012 p. 6585)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Jun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5 Div. 2 (other than s. 375(1)):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375(1):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Act 2011</vt:lpwstr>
  </property>
  <property pid="3" name="IDAct" fmtid="{D5CDD505-2E9C-101B-9397-08002B2CF9AE}">
    <vt:lpwstr>146834</vt:lpwstr>
  </property>
  <property pid="4" name="ChangedDate" fmtid="{D5CDD505-2E9C-101B-9397-08002B2CF9AE}">
    <vt:lpwstr>20250404114309</vt:lpwstr>
  </property>
</Properties>
</file>