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T</w:t>
      </w:r>
    </w:p>
    <w:p>
      <w:pPr>
        <w:pStyle w:val="IActName"/>
      </w:pPr>
      <w:r>
        <w:t>Teacher Registration Act 2012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Education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Education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Teacher Registration Act 2012</w:t>
            </w:r>
          </w:p>
        </w:tc>
        <w:tc>
          <w:p>
            <w:pPr>
              <w:pStyle w:val="Table01Row"/>
            </w:pPr>
            <w:r>
              <w:t>2012/016</w:t>
            </w:r>
          </w:p>
        </w:tc>
        <w:tc>
          <w:p>
            <w:pPr>
              <w:pStyle w:val="Table01Row"/>
            </w:pPr>
            <w:r>
              <w:t>3 Jul 2012</w:t>
            </w:r>
          </w:p>
        </w:tc>
        <w:tc>
          <w:p>
            <w:pPr>
              <w:pStyle w:val="Table01Row"/>
            </w:pPr>
            <w:r>
              <w:rPr/>
              <w:t xml:space="preserve">s. 1 &amp; 2: 3 Jul 2012 (see s. 2(a));</w:t>
            </w:r>
          </w:p>
          <w:p>
            <w:pPr>
              <w:pStyle w:val="Table01Row"/>
            </w:pPr>
            <w:r>
              <w:rPr/>
              <w:t xml:space="preserve">Act other than s. 1, 2, 132 &amp; 166: 7 Dec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16 Nov 2012 p. 5637);</w:t>
            </w:r>
          </w:p>
          <w:p>
            <w:pPr>
              <w:pStyle w:val="Table01Row"/>
            </w:pPr>
            <w:r>
              <w:rPr/>
              <w:t xml:space="preserve">s. 132: 3 Aug 2016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 Aug 2016 p. 3293); </w:t>
            </w:r>
          </w:p>
          <w:p>
            <w:pPr>
              <w:pStyle w:val="Table01Row"/>
            </w:pPr>
            <w:r>
              <w:rPr/>
              <w:t xml:space="preserve">s. 166 deleted by 2025/014 s. 36(2)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Mutual Recognition (Western Australia) Amendment Act 2022</w:t>
            </w:r>
            <w:r>
              <w:t xml:space="preserve"> </w:t>
              <w:t>Pt. 3 Div. 13</w:t>
            </w:r>
          </w:p>
        </w:tc>
        <w:tc>
          <w:p>
            <w:pPr>
              <w:pStyle w:val="Table01Row"/>
            </w:pPr>
            <w:r>
              <w:t>2022/007</w:t>
            </w:r>
          </w:p>
        </w:tc>
        <w:tc>
          <w:p>
            <w:pPr>
              <w:pStyle w:val="Table01Row"/>
            </w:pPr>
            <w:r>
              <w:t>29 Mar 2022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2(b) and SL 2022/80)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Legal Profession Uniform Law Application Act 2022</w:t>
            </w:r>
            <w:r>
              <w:t xml:space="preserve"> </w:t>
              <w:t>s. 424</w:t>
            </w:r>
          </w:p>
        </w:tc>
        <w:tc>
          <w:p>
            <w:pPr>
              <w:pStyle w:val="Table01Row"/>
            </w:pPr>
            <w:r>
              <w:t>2022/009</w:t>
            </w:r>
          </w:p>
        </w:tc>
        <w:tc>
          <w:p>
            <w:pPr>
              <w:pStyle w:val="Table01Row"/>
            </w:pPr>
            <w:r>
              <w:t>14 Apr 2022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2(c) and SL 2022/113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Working with Children (Criminal Record Checking) Amendment Act 2022</w:t>
            </w:r>
            <w:r>
              <w:t xml:space="preserve"> </w:t>
              <w:t>s. 53</w:t>
            </w:r>
          </w:p>
        </w:tc>
        <w:tc>
          <w:p>
            <w:pPr>
              <w:pStyle w:val="Table01Row"/>
            </w:pPr>
            <w:r>
              <w:t>2022/047</w:t>
            </w:r>
          </w:p>
        </w:tc>
        <w:tc>
          <w:p>
            <w:pPr>
              <w:pStyle w:val="Table01Row"/>
            </w:pPr>
            <w:r>
              <w:t>7 Dec 2022</w:t>
            </w:r>
          </w:p>
        </w:tc>
        <w:tc>
          <w:p>
            <w:pPr>
              <w:pStyle w:val="Table01Row"/>
            </w:pPr>
            <w:r>
              <w:rPr/>
              <w:t xml:space="preserve">1 Jul 2023 (see s. 2(b) and SL 2023/90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Teacher Registration Amendment Act 2023</w:t>
            </w:r>
          </w:p>
        </w:tc>
        <w:tc>
          <w:p>
            <w:pPr>
              <w:pStyle w:val="Table01Row"/>
            </w:pPr>
            <w:r>
              <w:t>2023/003</w:t>
            </w:r>
          </w:p>
        </w:tc>
        <w:tc>
          <w:p>
            <w:pPr>
              <w:pStyle w:val="Table01Row"/>
            </w:pPr>
            <w:r>
              <w:t>1 Mar 2023</w:t>
            </w:r>
          </w:p>
        </w:tc>
        <w:tc>
          <w:p>
            <w:pPr>
              <w:pStyle w:val="Table01Row"/>
            </w:pPr>
            <w:r>
              <w:rPr/>
              <w:t xml:space="preserve">s. 1 &amp; 2: 1 Mar 2023 (see s. 2(a));</w:t>
            </w:r>
          </w:p>
          <w:p>
            <w:pPr>
              <w:pStyle w:val="Table01Row"/>
            </w:pPr>
            <w:r>
              <w:rPr/>
              <w:t xml:space="preserve">Act other than s. 1 &amp; 2: 19 Dec 2023 (see s. 2(b) and SL 2023/195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2025</w:t>
            </w:r>
            <w:r>
              <w:t xml:space="preserve"> </w:t>
              <w:t>s. 36</w:t>
            </w:r>
          </w:p>
        </w:tc>
        <w:tc>
          <w:p>
            <w:pPr>
              <w:pStyle w:val="Table01Row"/>
            </w:pPr>
            <w:r>
              <w:t>2025/014</w:t>
            </w:r>
          </w:p>
        </w:tc>
        <w:tc>
          <w:p>
            <w:pPr>
              <w:pStyle w:val="Table01Row"/>
            </w:pPr>
            <w:r>
              <w:t>25 Sep 2025</w:t>
            </w:r>
          </w:p>
        </w:tc>
        <w:tc>
          <w:p>
            <w:pPr>
              <w:pStyle w:val="Table01Row"/>
            </w:pPr>
            <w:r>
              <w:rPr/>
              <w:t xml:space="preserve">26 Sep 2025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Evidence Act 2025</w:t>
            </w:r>
            <w:r>
              <w:t xml:space="preserve"> </w:t>
              <w:t>s. 492(1) &amp; (2)</w:t>
            </w:r>
          </w:p>
        </w:tc>
        <w:tc>
          <w:p>
            <w:pPr>
              <w:pStyle w:val="Table01Row"/>
            </w:pPr>
            <w:r>
              <w:t>2025/015</w:t>
            </w:r>
          </w:p>
        </w:tc>
        <w:tc>
          <w:p>
            <w:pPr>
              <w:pStyle w:val="Table01Row"/>
            </w:pPr>
            <w:r>
              <w:t>25 Sep 2025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2(e))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Education and Care Services National Law Application Act 2026</w:t>
            </w:r>
            <w:r>
              <w:rPr>
                <w:color w:val="FF0000"/>
              </w:rPr>
              <w:t xml:space="preserve"> </w:t>
              <w:t>s.102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2026/002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31 Mar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1 May 2026 (see s. 2(1)(d) and SL 2026/50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Teacher Registration Act 2012</vt:lpwstr>
  </property>
  <property pid="3" name="IDAct" fmtid="{D5CDD505-2E9C-101B-9397-08002B2CF9AE}">
    <vt:lpwstr>146890</vt:lpwstr>
  </property>
  <property pid="4" name="ChangedDate" fmtid="{D5CDD505-2E9C-101B-9397-08002B2CF9AE}">
    <vt:lpwstr>20251002122720</vt:lpwstr>
  </property>
</Properties>
</file>