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Criminal Organisations Control Act 2012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Organisations Control Act 2012</w:t>
            </w:r>
          </w:p>
        </w:tc>
        <w:tc>
          <w:p>
            <w:pPr>
              <w:pStyle w:val="Table01Row"/>
            </w:pPr>
            <w:r>
              <w:t>2012/049</w:t>
            </w:r>
          </w:p>
        </w:tc>
        <w:tc>
          <w:p>
            <w:pPr>
              <w:pStyle w:val="Table01Row"/>
            </w:pPr>
            <w:r>
              <w:t>29 Nov 2012</w:t>
            </w:r>
          </w:p>
        </w:tc>
        <w:tc>
          <w:p>
            <w:pPr>
              <w:pStyle w:val="Table01Row"/>
            </w:pPr>
            <w:r>
              <w:rPr/>
              <w:t xml:space="preserve">s. 1 &amp; 2: 29 Nov 2012 (see s. 2(a));</w:t>
            </w:r>
          </w:p>
          <w:p>
            <w:pPr>
              <w:pStyle w:val="Table01Row"/>
            </w:pPr>
            <w:r>
              <w:rPr/>
              <w:t xml:space="preserve">Act other than s. 1, 2 &amp; 176(5) &amp; Pt. 8: 2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Nov 2013 p. 4891);</w:t>
            </w:r>
          </w:p>
          <w:p>
            <w:pPr>
              <w:pStyle w:val="Table01Row"/>
            </w:pPr>
            <w:r>
              <w:rPr/>
              <w:t xml:space="preserve">Pt. 8: 2 Nov 2013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1 Nov 2013 p. 4891);</w:t>
            </w:r>
          </w:p>
          <w:p>
            <w:pPr>
              <w:pStyle w:val="Table01Row"/>
            </w:pPr>
            <w:r>
              <w:rPr/>
              <w:t xml:space="preserve">s. 176(5) deleted by 2017/006 s. 6(3)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(Identifying People) Amendment Act 2013</w:t>
            </w:r>
            <w:r>
              <w:t xml:space="preserve"> </w:t>
              <w:t>s. 30</w:t>
            </w:r>
          </w:p>
        </w:tc>
        <w:tc>
          <w:p>
            <w:pPr>
              <w:pStyle w:val="Table01Row"/>
            </w:pPr>
            <w:r>
              <w:t>2013/022</w:t>
            </w:r>
          </w:p>
        </w:tc>
        <w:tc>
          <w:p>
            <w:pPr>
              <w:pStyle w:val="Table01Row"/>
            </w:pPr>
            <w:r>
              <w:t>12 Nov 2013</w:t>
            </w:r>
          </w:p>
        </w:tc>
        <w:tc>
          <w:p>
            <w:pPr>
              <w:pStyle w:val="Table01Row"/>
            </w:pPr>
            <w:r>
              <w:rPr/>
              <w:t xml:space="preserve">13 Nov 2013 (see s.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Amendment (Misconduct) Act 2014</w:t>
            </w:r>
            <w:r>
              <w:t xml:space="preserve"> </w:t>
              <w:t>s. 39</w:t>
            </w:r>
          </w:p>
        </w:tc>
        <w:tc>
          <w:p>
            <w:pPr>
              <w:pStyle w:val="Table01Row"/>
            </w:pPr>
            <w:r>
              <w:t>2014/035</w:t>
            </w:r>
          </w:p>
        </w:tc>
        <w:tc>
          <w:p>
            <w:pPr>
              <w:pStyle w:val="Table01Row"/>
            </w:pPr>
            <w:r>
              <w:t>9 Dec 2014</w:t>
            </w:r>
          </w:p>
        </w:tc>
        <w:tc>
          <w:p>
            <w:pPr>
              <w:pStyle w:val="Table01Row"/>
            </w:pPr>
            <w:r>
              <w:rPr/>
              <w:t xml:space="preserve">1 Jul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2015 p. 2235)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(Minor Amendments) Act 2017</w:t>
            </w:r>
            <w:r>
              <w:t xml:space="preserve"> </w:t>
              <w:t>s. 6</w:t>
            </w:r>
          </w:p>
        </w:tc>
        <w:tc>
          <w:p>
            <w:pPr>
              <w:pStyle w:val="Table01Row"/>
            </w:pPr>
            <w:r>
              <w:t>2017/006</w:t>
            </w:r>
          </w:p>
        </w:tc>
        <w:tc>
          <w:p>
            <w:pPr>
              <w:pStyle w:val="Table01Row"/>
            </w:pPr>
            <w:r>
              <w:t>12 Sep 2017</w:t>
            </w:r>
          </w:p>
        </w:tc>
        <w:tc>
          <w:p>
            <w:pPr>
              <w:pStyle w:val="Table01Row"/>
            </w:pPr>
            <w:r>
              <w:rPr/>
              <w:t xml:space="preserve">13 Sep 2017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TAB (Disposal) Act 2019</w:t>
            </w:r>
            <w:r>
              <w:t xml:space="preserve"> </w:t>
              <w:t>s. 147</w:t>
            </w:r>
          </w:p>
        </w:tc>
        <w:tc>
          <w:p>
            <w:pPr>
              <w:pStyle w:val="Table01Row"/>
            </w:pPr>
            <w:r>
              <w:t>2019/021</w:t>
            </w:r>
          </w:p>
        </w:tc>
        <w:tc>
          <w:p>
            <w:pPr>
              <w:pStyle w:val="Table01Row"/>
            </w:pPr>
            <w:r>
              <w:t>18 Sep 2019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2(1)(b) &amp; 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Firearms Amendment Act 2022</w:t>
            </w:r>
            <w:r>
              <w:t xml:space="preserve"> </w:t>
              <w:t>Pt. 3 Div. 2</w:t>
            </w:r>
          </w:p>
        </w:tc>
        <w:tc>
          <w:p>
            <w:pPr>
              <w:pStyle w:val="Table01Row"/>
            </w:pPr>
            <w:r>
              <w:t>2022/013</w:t>
            </w:r>
          </w:p>
        </w:tc>
        <w:tc>
          <w:p>
            <w:pPr>
              <w:pStyle w:val="Table01Row"/>
            </w:pPr>
            <w:r>
              <w:t>18 May 2022</w:t>
            </w:r>
          </w:p>
        </w:tc>
        <w:tc>
          <w:p>
            <w:pPr>
              <w:pStyle w:val="Table01Row"/>
            </w:pPr>
            <w:r>
              <w:rPr/>
              <w:t xml:space="preserve">19 Nov 2022 (see s. 2(c) and SL 2022/186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Corruption, Crime and Misconduct Amendment Act 2024</w:t>
            </w:r>
            <w:r>
              <w:t xml:space="preserve"> </w:t>
              <w:t>Pt. 3 Div. 2</w:t>
            </w:r>
          </w:p>
        </w:tc>
        <w:tc>
          <w:p>
            <w:pPr>
              <w:pStyle w:val="Table01Row"/>
            </w:pPr>
            <w:r>
              <w:t>2024/005</w:t>
            </w:r>
          </w:p>
        </w:tc>
        <w:tc>
          <w:p>
            <w:pPr>
              <w:pStyle w:val="Table01Row"/>
            </w:pPr>
            <w:r>
              <w:t>14 Mar 2024</w:t>
            </w:r>
          </w:p>
        </w:tc>
        <w:tc>
          <w:p>
            <w:pPr>
              <w:pStyle w:val="Table01Row"/>
            </w:pPr>
            <w:r>
              <w:rPr/>
              <w:t xml:space="preserve">15 Mar 2024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Firearms Act 2024</w:t>
            </w:r>
            <w:r>
              <w:t xml:space="preserve"> </w:t>
              <w:t>Pt. 17 Div. 3 Subdiv.6</w:t>
            </w:r>
          </w:p>
        </w:tc>
        <w:tc>
          <w:p>
            <w:pPr>
              <w:pStyle w:val="Table01Row"/>
            </w:pPr>
            <w:r>
              <w:t>2024/023</w:t>
            </w:r>
          </w:p>
        </w:tc>
        <w:tc>
          <w:p>
            <w:pPr>
              <w:pStyle w:val="Table01Row"/>
            </w:pPr>
            <w:r>
              <w:t>27 Jun 2024</w:t>
            </w:r>
          </w:p>
        </w:tc>
        <w:tc>
          <w:p>
            <w:pPr>
              <w:pStyle w:val="Table01Row"/>
            </w:pPr>
            <w:r>
              <w:rPr/>
              <w:t xml:space="preserve">31 Mar 2025 (see s. 2(d) and SL 2024/289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Community Protection (Offender Reporting) Amendment Act 2024</w:t>
            </w:r>
            <w:r>
              <w:t xml:space="preserve"> </w:t>
              <w:t>Pt. 2 Div. 2 Subdiv. 2</w:t>
            </w:r>
          </w:p>
        </w:tc>
        <w:tc>
          <w:p>
            <w:pPr>
              <w:pStyle w:val="Table01Row"/>
            </w:pPr>
            <w:r>
              <w:t>2024/035</w:t>
            </w:r>
          </w:p>
        </w:tc>
        <w:tc>
          <w:p>
            <w:pPr>
              <w:pStyle w:val="Table01Row"/>
            </w:pPr>
            <w:r>
              <w:t>22 Oct 2024</w:t>
            </w:r>
          </w:p>
        </w:tc>
        <w:tc>
          <w:p>
            <w:pPr>
              <w:pStyle w:val="Table01Row"/>
            </w:pPr>
            <w:r>
              <w:rPr/>
              <w:t xml:space="preserve">28 Jul 2025 (see s. 2(b) and SL 2025/137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Towing Services Act 2024</w:t>
            </w:r>
            <w:r>
              <w:t xml:space="preserve"> </w:t>
              <w:t>Pt. 11 Div. 1</w:t>
            </w:r>
          </w:p>
        </w:tc>
        <w:tc>
          <w:p>
            <w:pPr>
              <w:pStyle w:val="Table01Row"/>
            </w:pPr>
            <w:r>
              <w:t>2024/037</w:t>
            </w:r>
          </w:p>
        </w:tc>
        <w:tc>
          <w:p>
            <w:pPr>
              <w:pStyle w:val="Table01Row"/>
            </w:pPr>
            <w:r>
              <w:t>29 Oct 2024</w:t>
            </w:r>
          </w:p>
        </w:tc>
        <w:tc>
          <w:p>
            <w:pPr>
              <w:pStyle w:val="Table01Row"/>
            </w:pPr>
            <w:r>
              <w:rPr/>
              <w:t xml:space="preserve">10 Jan 2025 (see s. 2(c) and SL 2025/3 cl. 2(h))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Criminal Organisations Control Act 2012</vt:lpwstr>
  </property>
  <property pid="3" name="IDAct" fmtid="{D5CDD505-2E9C-101B-9397-08002B2CF9AE}">
    <vt:lpwstr>146923</vt:lpwstr>
  </property>
  <property pid="4" name="ChangedDate" fmtid="{D5CDD505-2E9C-101B-9397-08002B2CF9AE}">
    <vt:lpwstr>20250402124409</vt:lpwstr>
  </property>
</Properties>
</file>