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Browse (Land) Agreement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Browse (Land) Agreement Act 2012</w:t>
            </w:r>
          </w:p>
        </w:tc>
        <w:tc>
          <w:p>
            <w:pPr>
              <w:pStyle w:val="Table01Row"/>
            </w:pPr>
            <w:r>
              <w:t>2012/061</w:t>
            </w:r>
          </w:p>
        </w:tc>
        <w:tc>
          <w:p>
            <w:pPr>
              <w:pStyle w:val="Table01Row"/>
            </w:pPr>
            <w:r>
              <w:t>11 Dec 2012</w:t>
            </w:r>
          </w:p>
        </w:tc>
        <w:tc>
          <w:p>
            <w:pPr>
              <w:pStyle w:val="Table01Row"/>
            </w:pPr>
            <w:r>
              <w:rPr/>
              <w:t xml:space="preserve">12 Dec 2012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Browse (Land) Agreement Act 2012</vt:lpwstr>
  </property>
  <property pid="3" name="IDAct" fmtid="{D5CDD505-2E9C-101B-9397-08002B2CF9AE}">
    <vt:lpwstr>146935</vt:lpwstr>
  </property>
  <property pid="4" name="ChangedDate" fmtid="{D5CDD505-2E9C-101B-9397-08002B2CF9AE}">
    <vt:lpwstr>20260804144154</vt:lpwstr>
  </property>
</Properties>
</file>