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(Forrestfield‑Airport Link) Act 2015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(Forrestfield‑Airport Link) Act 2015</w:t>
            </w:r>
          </w:p>
        </w:tc>
        <w:tc>
          <w:p>
            <w:pPr>
              <w:pStyle w:val="Table01Row"/>
            </w:pPr>
            <w:r>
              <w:t>2015/034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2 Nov 2015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(Forrestfield-Airport Link) Act 2015</vt:lpwstr>
  </property>
  <property pid="3" name="IDAct" fmtid="{D5CDD505-2E9C-101B-9397-08002B2CF9AE}">
    <vt:lpwstr>147087</vt:lpwstr>
  </property>
  <property pid="4" name="ChangedDate" fmtid="{D5CDD505-2E9C-101B-9397-08002B2CF9AE}">
    <vt:lpwstr>20260804143231</vt:lpwstr>
  </property>
</Properties>
</file>